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5A" w:rsidRDefault="00064D1D" w:rsidP="00BF7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627A7">
        <w:rPr>
          <w:rFonts w:ascii="Times New Roman" w:hAnsi="Times New Roman" w:cs="Times New Roman"/>
          <w:b/>
          <w:sz w:val="28"/>
          <w:szCs w:val="28"/>
        </w:rPr>
        <w:t xml:space="preserve">MONITORIA </w:t>
      </w:r>
      <w:r>
        <w:rPr>
          <w:rFonts w:ascii="Times New Roman" w:hAnsi="Times New Roman" w:cs="Times New Roman"/>
          <w:b/>
          <w:sz w:val="28"/>
          <w:szCs w:val="28"/>
        </w:rPr>
        <w:t xml:space="preserve">NA ASSISTÊNCIA E </w:t>
      </w:r>
      <w:r w:rsidR="006321F1">
        <w:rPr>
          <w:rFonts w:ascii="Times New Roman" w:hAnsi="Times New Roman" w:cs="Times New Roman"/>
          <w:b/>
          <w:sz w:val="28"/>
          <w:szCs w:val="28"/>
        </w:rPr>
        <w:t>DESEMPENHO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F1">
        <w:rPr>
          <w:rFonts w:ascii="Times New Roman" w:hAnsi="Times New Roman" w:cs="Times New Roman"/>
          <w:b/>
          <w:sz w:val="28"/>
          <w:szCs w:val="28"/>
        </w:rPr>
        <w:t>NA</w:t>
      </w:r>
      <w:r w:rsidR="009627A7">
        <w:rPr>
          <w:rFonts w:ascii="Times New Roman" w:hAnsi="Times New Roman" w:cs="Times New Roman"/>
          <w:b/>
          <w:sz w:val="28"/>
          <w:szCs w:val="28"/>
        </w:rPr>
        <w:t xml:space="preserve"> APRENDIZAGEM</w:t>
      </w:r>
      <w:r>
        <w:rPr>
          <w:rFonts w:ascii="Times New Roman" w:hAnsi="Times New Roman" w:cs="Times New Roman"/>
          <w:b/>
          <w:sz w:val="28"/>
          <w:szCs w:val="28"/>
        </w:rPr>
        <w:t>: UMA EXPERIÊNCIA NA UFPB (CAMPUS I)</w:t>
      </w:r>
    </w:p>
    <w:p w:rsidR="007861A1" w:rsidRDefault="007861A1" w:rsidP="00BF72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4E" w:rsidRDefault="007D565C" w:rsidP="007D5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Sérgio Estrela Júnior</w:t>
      </w:r>
      <w:r w:rsidRPr="007D565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7D565C">
        <w:rPr>
          <w:rFonts w:ascii="Times New Roman" w:hAnsi="Times New Roman" w:cs="Times New Roman"/>
          <w:sz w:val="24"/>
          <w:szCs w:val="24"/>
        </w:rPr>
        <w:t xml:space="preserve">; </w:t>
      </w:r>
      <w:r w:rsidR="00336ABE">
        <w:rPr>
          <w:rFonts w:ascii="Times New Roman" w:hAnsi="Times New Roman" w:cs="Times New Roman"/>
          <w:sz w:val="24"/>
          <w:szCs w:val="24"/>
        </w:rPr>
        <w:t>Ms.Marcelo Pinheiro de Lucena</w:t>
      </w:r>
      <w:r w:rsidRPr="007D565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7D565C">
        <w:rPr>
          <w:rFonts w:ascii="Times New Roman" w:hAnsi="Times New Roman" w:cs="Times New Roman"/>
          <w:sz w:val="24"/>
          <w:szCs w:val="24"/>
        </w:rPr>
        <w:t xml:space="preserve">; </w:t>
      </w:r>
      <w:r w:rsidR="00D96D3F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Azamor Cirne de Azevedo Filho</w:t>
      </w:r>
      <w:r w:rsidRPr="007D565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7D565C" w:rsidRPr="007D565C" w:rsidRDefault="007D565C" w:rsidP="007D5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sz w:val="24"/>
          <w:szCs w:val="24"/>
        </w:rPr>
        <w:t xml:space="preserve">Centro de Ciências Sociais </w:t>
      </w:r>
      <w:r>
        <w:rPr>
          <w:rFonts w:ascii="Times New Roman" w:hAnsi="Times New Roman" w:cs="Times New Roman"/>
          <w:sz w:val="24"/>
          <w:szCs w:val="24"/>
        </w:rPr>
        <w:t>Aplicadas-</w:t>
      </w:r>
      <w:r w:rsidRPr="007D565C">
        <w:rPr>
          <w:rFonts w:ascii="Times New Roman" w:hAnsi="Times New Roman" w:cs="Times New Roman"/>
          <w:sz w:val="24"/>
          <w:szCs w:val="24"/>
        </w:rPr>
        <w:t xml:space="preserve"> CCSA / Departamento de </w:t>
      </w:r>
      <w:r>
        <w:rPr>
          <w:rFonts w:ascii="Times New Roman" w:hAnsi="Times New Roman" w:cs="Times New Roman"/>
          <w:sz w:val="24"/>
          <w:szCs w:val="24"/>
        </w:rPr>
        <w:t>Finanças e Contabilidade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DFC</w:t>
      </w:r>
      <w:r w:rsidRPr="007D565C">
        <w:rPr>
          <w:rFonts w:ascii="Times New Roman" w:hAnsi="Times New Roman" w:cs="Times New Roman"/>
          <w:sz w:val="24"/>
          <w:szCs w:val="24"/>
        </w:rPr>
        <w:t>/MONITORIA</w:t>
      </w:r>
    </w:p>
    <w:p w:rsidR="007D565C" w:rsidRDefault="007D565C" w:rsidP="004224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76" w:rsidRPr="0058148E" w:rsidRDefault="0042245A" w:rsidP="00422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8E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58148E">
        <w:rPr>
          <w:rFonts w:ascii="Times New Roman" w:hAnsi="Times New Roman" w:cs="Times New Roman"/>
          <w:sz w:val="24"/>
          <w:szCs w:val="24"/>
        </w:rPr>
        <w:t xml:space="preserve">O trabalho apresenta algumas </w:t>
      </w:r>
      <w:r w:rsidR="00F15186">
        <w:rPr>
          <w:rFonts w:ascii="Times New Roman" w:hAnsi="Times New Roman" w:cs="Times New Roman"/>
          <w:sz w:val="24"/>
          <w:szCs w:val="24"/>
        </w:rPr>
        <w:t>considerações</w:t>
      </w:r>
      <w:r w:rsidRPr="0058148E">
        <w:rPr>
          <w:rFonts w:ascii="Times New Roman" w:hAnsi="Times New Roman" w:cs="Times New Roman"/>
          <w:sz w:val="24"/>
          <w:szCs w:val="24"/>
        </w:rPr>
        <w:t xml:space="preserve"> relativa</w:t>
      </w:r>
      <w:r w:rsidR="003F434B">
        <w:rPr>
          <w:rFonts w:ascii="Times New Roman" w:hAnsi="Times New Roman" w:cs="Times New Roman"/>
          <w:sz w:val="24"/>
          <w:szCs w:val="24"/>
        </w:rPr>
        <w:t>sà</w:t>
      </w:r>
      <w:r w:rsidRPr="0058148E">
        <w:rPr>
          <w:rFonts w:ascii="Times New Roman" w:hAnsi="Times New Roman" w:cs="Times New Roman"/>
          <w:sz w:val="24"/>
          <w:szCs w:val="24"/>
        </w:rPr>
        <w:t xml:space="preserve"> monitoria da disciplina </w:t>
      </w:r>
      <w:r w:rsidR="00F15186">
        <w:rPr>
          <w:rFonts w:ascii="Times New Roman" w:hAnsi="Times New Roman" w:cs="Times New Roman"/>
          <w:sz w:val="24"/>
          <w:szCs w:val="24"/>
        </w:rPr>
        <w:t>Contabilidade Pública</w:t>
      </w:r>
      <w:r w:rsidR="0094236C" w:rsidRPr="0058148E">
        <w:rPr>
          <w:rFonts w:ascii="Times New Roman" w:hAnsi="Times New Roman" w:cs="Times New Roman"/>
          <w:sz w:val="24"/>
          <w:szCs w:val="24"/>
        </w:rPr>
        <w:t xml:space="preserve"> do curso de Ciências Contábeis </w:t>
      </w:r>
      <w:r w:rsidR="00760F76" w:rsidRPr="0058148E">
        <w:rPr>
          <w:rFonts w:ascii="Times New Roman" w:hAnsi="Times New Roman" w:cs="Times New Roman"/>
          <w:sz w:val="24"/>
          <w:szCs w:val="24"/>
        </w:rPr>
        <w:t>d</w:t>
      </w:r>
      <w:r w:rsidR="0094236C" w:rsidRPr="0058148E">
        <w:rPr>
          <w:rFonts w:ascii="Times New Roman" w:hAnsi="Times New Roman" w:cs="Times New Roman"/>
          <w:sz w:val="24"/>
          <w:szCs w:val="24"/>
        </w:rPr>
        <w:t xml:space="preserve">o Centro de Ciências Sociais Aplicadas </w:t>
      </w:r>
      <w:r w:rsidR="00651AF5">
        <w:rPr>
          <w:rFonts w:ascii="Times New Roman" w:hAnsi="Times New Roman" w:cs="Times New Roman"/>
          <w:sz w:val="24"/>
          <w:szCs w:val="24"/>
        </w:rPr>
        <w:t>-</w:t>
      </w:r>
      <w:r w:rsidR="0094236C" w:rsidRPr="0058148E">
        <w:rPr>
          <w:rFonts w:ascii="Times New Roman" w:hAnsi="Times New Roman" w:cs="Times New Roman"/>
          <w:sz w:val="24"/>
          <w:szCs w:val="24"/>
        </w:rPr>
        <w:t xml:space="preserve"> CCSA</w:t>
      </w:r>
      <w:r w:rsidR="00651AF5">
        <w:rPr>
          <w:rFonts w:ascii="Times New Roman" w:hAnsi="Times New Roman" w:cs="Times New Roman"/>
          <w:sz w:val="24"/>
          <w:szCs w:val="24"/>
        </w:rPr>
        <w:t xml:space="preserve"> da Universidade Federal da Paraíba - UFPB</w:t>
      </w:r>
      <w:r w:rsidRPr="0058148E">
        <w:rPr>
          <w:rFonts w:ascii="Times New Roman" w:hAnsi="Times New Roman" w:cs="Times New Roman"/>
          <w:sz w:val="24"/>
          <w:szCs w:val="24"/>
        </w:rPr>
        <w:t>, desenvolvida</w:t>
      </w:r>
      <w:r w:rsidR="00A62ECF">
        <w:rPr>
          <w:rFonts w:ascii="Times New Roman" w:hAnsi="Times New Roman" w:cs="Times New Roman"/>
          <w:sz w:val="24"/>
          <w:szCs w:val="24"/>
        </w:rPr>
        <w:t xml:space="preserve"> nos períodos 201</w:t>
      </w:r>
      <w:r w:rsidR="00336ABE">
        <w:rPr>
          <w:rFonts w:ascii="Times New Roman" w:hAnsi="Times New Roman" w:cs="Times New Roman"/>
          <w:sz w:val="24"/>
          <w:szCs w:val="24"/>
        </w:rPr>
        <w:t>1</w:t>
      </w:r>
      <w:r w:rsidR="00A62ECF">
        <w:rPr>
          <w:rFonts w:ascii="Times New Roman" w:hAnsi="Times New Roman" w:cs="Times New Roman"/>
          <w:sz w:val="24"/>
          <w:szCs w:val="24"/>
        </w:rPr>
        <w:t>.2 e 201</w:t>
      </w:r>
      <w:r w:rsidR="00336ABE">
        <w:rPr>
          <w:rFonts w:ascii="Times New Roman" w:hAnsi="Times New Roman" w:cs="Times New Roman"/>
          <w:sz w:val="24"/>
          <w:szCs w:val="24"/>
        </w:rPr>
        <w:t>2</w:t>
      </w:r>
      <w:r w:rsidR="00A62ECF">
        <w:rPr>
          <w:rFonts w:ascii="Times New Roman" w:hAnsi="Times New Roman" w:cs="Times New Roman"/>
          <w:sz w:val="24"/>
          <w:szCs w:val="24"/>
        </w:rPr>
        <w:t>.</w:t>
      </w:r>
      <w:r w:rsidR="00484C59">
        <w:rPr>
          <w:rFonts w:ascii="Times New Roman" w:hAnsi="Times New Roman" w:cs="Times New Roman"/>
          <w:sz w:val="24"/>
          <w:szCs w:val="24"/>
        </w:rPr>
        <w:t>1</w:t>
      </w:r>
      <w:r w:rsidR="00A62ECF">
        <w:rPr>
          <w:rFonts w:ascii="Times New Roman" w:hAnsi="Times New Roman" w:cs="Times New Roman"/>
          <w:sz w:val="24"/>
          <w:szCs w:val="24"/>
        </w:rPr>
        <w:t xml:space="preserve">, com </w:t>
      </w:r>
      <w:r w:rsidRPr="0058148E">
        <w:rPr>
          <w:rFonts w:ascii="Times New Roman" w:hAnsi="Times New Roman" w:cs="Times New Roman"/>
          <w:sz w:val="24"/>
          <w:szCs w:val="24"/>
        </w:rPr>
        <w:t>uma car</w:t>
      </w:r>
      <w:r w:rsidR="003F434B">
        <w:rPr>
          <w:rFonts w:ascii="Times New Roman" w:hAnsi="Times New Roman" w:cs="Times New Roman"/>
          <w:sz w:val="24"/>
          <w:szCs w:val="24"/>
        </w:rPr>
        <w:t>ga horária de 12 horas semanais. A monitoriafez-se em</w:t>
      </w:r>
      <w:r w:rsidR="0094236C" w:rsidRPr="0058148E">
        <w:rPr>
          <w:rFonts w:ascii="Times New Roman" w:hAnsi="Times New Roman" w:cs="Times New Roman"/>
          <w:sz w:val="24"/>
          <w:szCs w:val="24"/>
        </w:rPr>
        <w:t xml:space="preserve">momentos </w:t>
      </w:r>
      <w:r w:rsidRPr="0058148E">
        <w:rPr>
          <w:rFonts w:ascii="Times New Roman" w:hAnsi="Times New Roman" w:cs="Times New Roman"/>
          <w:sz w:val="24"/>
          <w:szCs w:val="24"/>
        </w:rPr>
        <w:t>presenciais</w:t>
      </w:r>
      <w:r w:rsidR="003F434B">
        <w:rPr>
          <w:rFonts w:ascii="Times New Roman" w:hAnsi="Times New Roman" w:cs="Times New Roman"/>
          <w:sz w:val="24"/>
          <w:szCs w:val="24"/>
        </w:rPr>
        <w:t>,a partir</w:t>
      </w:r>
      <w:r w:rsidR="00A62ECF">
        <w:rPr>
          <w:rFonts w:ascii="Times New Roman" w:hAnsi="Times New Roman" w:cs="Times New Roman"/>
          <w:sz w:val="24"/>
          <w:szCs w:val="24"/>
        </w:rPr>
        <w:t xml:space="preserve"> realização de atividades </w:t>
      </w:r>
      <w:r w:rsidR="0094236C" w:rsidRPr="0058148E">
        <w:rPr>
          <w:rFonts w:ascii="Times New Roman" w:hAnsi="Times New Roman" w:cs="Times New Roman"/>
          <w:sz w:val="24"/>
          <w:szCs w:val="24"/>
        </w:rPr>
        <w:t>em sala de aula</w:t>
      </w:r>
      <w:r w:rsidR="00F15186">
        <w:rPr>
          <w:rFonts w:ascii="Times New Roman" w:hAnsi="Times New Roman" w:cs="Times New Roman"/>
          <w:sz w:val="24"/>
          <w:szCs w:val="24"/>
        </w:rPr>
        <w:t xml:space="preserve"> e em laboratório</w:t>
      </w:r>
      <w:r w:rsidR="00A62ECF">
        <w:rPr>
          <w:rFonts w:ascii="Times New Roman" w:hAnsi="Times New Roman" w:cs="Times New Roman"/>
          <w:sz w:val="24"/>
          <w:szCs w:val="24"/>
        </w:rPr>
        <w:t>,</w:t>
      </w:r>
      <w:r w:rsidR="0094236C" w:rsidRPr="0058148E">
        <w:rPr>
          <w:rFonts w:ascii="Times New Roman" w:hAnsi="Times New Roman" w:cs="Times New Roman"/>
          <w:sz w:val="24"/>
          <w:szCs w:val="24"/>
        </w:rPr>
        <w:t xml:space="preserve"> utilizando</w:t>
      </w:r>
      <w:r w:rsidR="003F434B">
        <w:rPr>
          <w:rFonts w:ascii="Times New Roman" w:hAnsi="Times New Roman" w:cs="Times New Roman"/>
          <w:sz w:val="24"/>
          <w:szCs w:val="24"/>
        </w:rPr>
        <w:t>-se de</w:t>
      </w:r>
      <w:r w:rsidR="0094236C" w:rsidRPr="0058148E">
        <w:rPr>
          <w:rFonts w:ascii="Times New Roman" w:hAnsi="Times New Roman" w:cs="Times New Roman"/>
          <w:sz w:val="24"/>
          <w:szCs w:val="24"/>
        </w:rPr>
        <w:t xml:space="preserve"> aula</w:t>
      </w:r>
      <w:r w:rsidR="00760F76" w:rsidRPr="0058148E">
        <w:rPr>
          <w:rFonts w:ascii="Times New Roman" w:hAnsi="Times New Roman" w:cs="Times New Roman"/>
          <w:sz w:val="24"/>
          <w:szCs w:val="24"/>
        </w:rPr>
        <w:t>s</w:t>
      </w:r>
      <w:r w:rsidR="003F48F4">
        <w:rPr>
          <w:rFonts w:ascii="Times New Roman" w:hAnsi="Times New Roman" w:cs="Times New Roman"/>
          <w:sz w:val="24"/>
          <w:szCs w:val="24"/>
        </w:rPr>
        <w:t xml:space="preserve"> expositivas e </w:t>
      </w:r>
      <w:r w:rsidR="00F15186">
        <w:rPr>
          <w:rFonts w:ascii="Times New Roman" w:hAnsi="Times New Roman" w:cs="Times New Roman"/>
          <w:sz w:val="24"/>
          <w:szCs w:val="24"/>
        </w:rPr>
        <w:t>práticas</w:t>
      </w:r>
      <w:r w:rsidR="003F434B">
        <w:rPr>
          <w:rFonts w:ascii="Times New Roman" w:hAnsi="Times New Roman" w:cs="Times New Roman"/>
          <w:sz w:val="24"/>
          <w:szCs w:val="24"/>
        </w:rPr>
        <w:t>. Seu conteúdo experimentou, de modo fictício,as atividades contábeis realizadasem</w:t>
      </w:r>
      <w:r w:rsidR="00F15186">
        <w:rPr>
          <w:rFonts w:ascii="Times New Roman" w:hAnsi="Times New Roman" w:cs="Times New Roman"/>
          <w:sz w:val="24"/>
          <w:szCs w:val="24"/>
        </w:rPr>
        <w:t xml:space="preserve"> Prefeituras</w:t>
      </w:r>
      <w:r w:rsidR="003F48F4">
        <w:rPr>
          <w:rFonts w:ascii="Times New Roman" w:hAnsi="Times New Roman" w:cs="Times New Roman"/>
          <w:sz w:val="24"/>
          <w:szCs w:val="24"/>
        </w:rPr>
        <w:t xml:space="preserve">, </w:t>
      </w:r>
      <w:r w:rsidR="00222B30">
        <w:rPr>
          <w:rFonts w:ascii="Times New Roman" w:hAnsi="Times New Roman" w:cs="Times New Roman"/>
          <w:sz w:val="24"/>
          <w:szCs w:val="24"/>
        </w:rPr>
        <w:t>dando</w:t>
      </w:r>
      <w:r w:rsidR="00F15186">
        <w:rPr>
          <w:rFonts w:ascii="Times New Roman" w:hAnsi="Times New Roman" w:cs="Times New Roman"/>
          <w:sz w:val="24"/>
          <w:szCs w:val="24"/>
        </w:rPr>
        <w:t xml:space="preserve"> ênfase </w:t>
      </w:r>
      <w:r w:rsidR="00222B30">
        <w:rPr>
          <w:rFonts w:ascii="Times New Roman" w:hAnsi="Times New Roman" w:cs="Times New Roman"/>
          <w:sz w:val="24"/>
          <w:szCs w:val="24"/>
        </w:rPr>
        <w:t>na</w:t>
      </w:r>
      <w:r w:rsidR="001A3300">
        <w:rPr>
          <w:rFonts w:ascii="Times New Roman" w:hAnsi="Times New Roman" w:cs="Times New Roman"/>
          <w:sz w:val="24"/>
          <w:szCs w:val="24"/>
        </w:rPr>
        <w:t xml:space="preserve">sdemonstrações contábeis </w:t>
      </w:r>
      <w:r w:rsidR="00222B30">
        <w:rPr>
          <w:rFonts w:ascii="Times New Roman" w:hAnsi="Times New Roman" w:cs="Times New Roman"/>
          <w:sz w:val="24"/>
          <w:szCs w:val="24"/>
        </w:rPr>
        <w:t>destinada</w:t>
      </w:r>
      <w:r w:rsidR="003F434B">
        <w:rPr>
          <w:rFonts w:ascii="Times New Roman" w:hAnsi="Times New Roman" w:cs="Times New Roman"/>
          <w:sz w:val="24"/>
          <w:szCs w:val="24"/>
        </w:rPr>
        <w:t>sà</w:t>
      </w:r>
      <w:r w:rsidR="00222B30">
        <w:rPr>
          <w:rFonts w:ascii="Times New Roman" w:hAnsi="Times New Roman" w:cs="Times New Roman"/>
          <w:sz w:val="24"/>
          <w:szCs w:val="24"/>
        </w:rPr>
        <w:t xml:space="preserve">elaboração e </w:t>
      </w:r>
      <w:r w:rsidR="001A3300">
        <w:rPr>
          <w:rFonts w:ascii="Times New Roman" w:hAnsi="Times New Roman" w:cs="Times New Roman"/>
          <w:sz w:val="24"/>
          <w:szCs w:val="24"/>
        </w:rPr>
        <w:t>a</w:t>
      </w:r>
      <w:r w:rsidR="00222B30">
        <w:rPr>
          <w:rFonts w:ascii="Times New Roman" w:hAnsi="Times New Roman" w:cs="Times New Roman"/>
          <w:sz w:val="24"/>
          <w:szCs w:val="24"/>
        </w:rPr>
        <w:t xml:space="preserve">o fechamento do </w:t>
      </w:r>
      <w:r w:rsidR="00F15186">
        <w:rPr>
          <w:rFonts w:ascii="Times New Roman" w:hAnsi="Times New Roman" w:cs="Times New Roman"/>
          <w:sz w:val="24"/>
          <w:szCs w:val="24"/>
        </w:rPr>
        <w:t>balanço patrimonial</w:t>
      </w:r>
      <w:r w:rsidR="00760F76" w:rsidRPr="0058148E">
        <w:rPr>
          <w:rFonts w:ascii="Times New Roman" w:hAnsi="Times New Roman" w:cs="Times New Roman"/>
          <w:sz w:val="24"/>
          <w:szCs w:val="24"/>
        </w:rPr>
        <w:t>.</w:t>
      </w:r>
      <w:r w:rsidR="0006177F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651AF5">
        <w:rPr>
          <w:rFonts w:ascii="Times New Roman" w:hAnsi="Times New Roman" w:cs="Times New Roman"/>
          <w:sz w:val="24"/>
          <w:szCs w:val="24"/>
        </w:rPr>
        <w:t>foi</w:t>
      </w:r>
      <w:r w:rsidR="00915FF3">
        <w:rPr>
          <w:rFonts w:ascii="Times New Roman" w:hAnsi="Times New Roman" w:cs="Times New Roman"/>
          <w:sz w:val="24"/>
          <w:szCs w:val="24"/>
        </w:rPr>
        <w:t>demonstrar</w:t>
      </w:r>
      <w:r w:rsidR="00C20FDF">
        <w:rPr>
          <w:rFonts w:ascii="Times New Roman" w:hAnsi="Times New Roman" w:cs="Times New Roman"/>
          <w:sz w:val="24"/>
          <w:szCs w:val="24"/>
        </w:rPr>
        <w:t>através desse método</w:t>
      </w:r>
      <w:r w:rsidR="00915FF3">
        <w:rPr>
          <w:rFonts w:ascii="Times New Roman" w:hAnsi="Times New Roman" w:cs="Times New Roman"/>
          <w:sz w:val="24"/>
          <w:szCs w:val="24"/>
        </w:rPr>
        <w:t xml:space="preserve"> como funciona a</w:t>
      </w:r>
      <w:r w:rsidR="00AA30B8">
        <w:rPr>
          <w:rFonts w:ascii="Times New Roman" w:hAnsi="Times New Roman" w:cs="Times New Roman"/>
          <w:sz w:val="24"/>
          <w:szCs w:val="24"/>
        </w:rPr>
        <w:t xml:space="preserve"> contabilidade no setor público.Vinculou-se</w:t>
      </w:r>
      <w:r w:rsidR="00915FF3">
        <w:rPr>
          <w:rFonts w:ascii="Times New Roman" w:hAnsi="Times New Roman" w:cs="Times New Roman"/>
          <w:sz w:val="24"/>
          <w:szCs w:val="24"/>
        </w:rPr>
        <w:t xml:space="preserve"> teoria </w:t>
      </w:r>
      <w:r w:rsidR="003F434B">
        <w:rPr>
          <w:rFonts w:ascii="Times New Roman" w:hAnsi="Times New Roman" w:cs="Times New Roman"/>
          <w:sz w:val="24"/>
          <w:szCs w:val="24"/>
        </w:rPr>
        <w:t>e</w:t>
      </w:r>
      <w:r w:rsidR="0000004F">
        <w:rPr>
          <w:rFonts w:ascii="Times New Roman" w:hAnsi="Times New Roman" w:cs="Times New Roman"/>
          <w:sz w:val="24"/>
          <w:szCs w:val="24"/>
        </w:rPr>
        <w:t xml:space="preserve"> prática</w:t>
      </w:r>
      <w:r w:rsidR="00915FF3">
        <w:rPr>
          <w:rFonts w:ascii="Times New Roman" w:hAnsi="Times New Roman" w:cs="Times New Roman"/>
          <w:sz w:val="24"/>
          <w:szCs w:val="24"/>
        </w:rPr>
        <w:t xml:space="preserve"> de tal modo</w:t>
      </w:r>
      <w:r w:rsidR="00C70999">
        <w:rPr>
          <w:rFonts w:ascii="Times New Roman" w:hAnsi="Times New Roman" w:cs="Times New Roman"/>
          <w:sz w:val="24"/>
          <w:szCs w:val="24"/>
        </w:rPr>
        <w:t>,</w:t>
      </w:r>
      <w:r w:rsidR="00915FF3">
        <w:rPr>
          <w:rFonts w:ascii="Times New Roman" w:hAnsi="Times New Roman" w:cs="Times New Roman"/>
          <w:sz w:val="24"/>
          <w:szCs w:val="24"/>
        </w:rPr>
        <w:t xml:space="preserve"> que </w:t>
      </w:r>
      <w:r w:rsidR="0000004F">
        <w:rPr>
          <w:rFonts w:ascii="Times New Roman" w:hAnsi="Times New Roman" w:cs="Times New Roman"/>
          <w:sz w:val="24"/>
          <w:szCs w:val="24"/>
        </w:rPr>
        <w:t>se pô</w:t>
      </w:r>
      <w:r w:rsidR="003F434B">
        <w:rPr>
          <w:rFonts w:ascii="Times New Roman" w:hAnsi="Times New Roman" w:cs="Times New Roman"/>
          <w:sz w:val="24"/>
          <w:szCs w:val="24"/>
        </w:rPr>
        <w:t>de observar e constatar</w:t>
      </w:r>
      <w:r w:rsidR="00915FF3">
        <w:rPr>
          <w:rFonts w:ascii="Times New Roman" w:hAnsi="Times New Roman" w:cs="Times New Roman"/>
          <w:sz w:val="24"/>
          <w:szCs w:val="24"/>
        </w:rPr>
        <w:t xml:space="preserve"> maior aprendizagem</w:t>
      </w:r>
      <w:r w:rsidR="003F434B">
        <w:rPr>
          <w:rFonts w:ascii="Times New Roman" w:hAnsi="Times New Roman" w:cs="Times New Roman"/>
          <w:sz w:val="24"/>
          <w:szCs w:val="24"/>
        </w:rPr>
        <w:t xml:space="preserve"> e</w:t>
      </w:r>
      <w:r w:rsidR="00097C0C" w:rsidRPr="0058148E">
        <w:rPr>
          <w:rFonts w:ascii="Times New Roman" w:hAnsi="Times New Roman" w:cs="Times New Roman"/>
          <w:sz w:val="24"/>
          <w:szCs w:val="24"/>
        </w:rPr>
        <w:t xml:space="preserve">melhor desempenho </w:t>
      </w:r>
      <w:r w:rsidR="003F434B">
        <w:rPr>
          <w:rFonts w:ascii="Times New Roman" w:hAnsi="Times New Roman" w:cs="Times New Roman"/>
          <w:sz w:val="24"/>
          <w:szCs w:val="24"/>
        </w:rPr>
        <w:t>por parte dos alunos no curso da</w:t>
      </w:r>
      <w:r w:rsidR="00097C0C" w:rsidRPr="0058148E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3F434B">
        <w:rPr>
          <w:rFonts w:ascii="Times New Roman" w:hAnsi="Times New Roman" w:cs="Times New Roman"/>
          <w:sz w:val="24"/>
          <w:szCs w:val="24"/>
        </w:rPr>
        <w:t>. Destaque-se ainda</w:t>
      </w:r>
      <w:r w:rsidR="0000004F">
        <w:rPr>
          <w:rFonts w:ascii="Times New Roman" w:hAnsi="Times New Roman" w:cs="Times New Roman"/>
          <w:sz w:val="24"/>
          <w:szCs w:val="24"/>
        </w:rPr>
        <w:t>,o fato de promover a elevaçãod</w:t>
      </w:r>
      <w:r w:rsidR="003F434B">
        <w:rPr>
          <w:rFonts w:ascii="Times New Roman" w:hAnsi="Times New Roman" w:cs="Times New Roman"/>
          <w:sz w:val="24"/>
          <w:szCs w:val="24"/>
        </w:rPr>
        <w:t>a</w:t>
      </w:r>
      <w:r w:rsidR="00915FF3">
        <w:rPr>
          <w:rFonts w:ascii="Times New Roman" w:hAnsi="Times New Roman" w:cs="Times New Roman"/>
          <w:sz w:val="24"/>
          <w:szCs w:val="24"/>
        </w:rPr>
        <w:t xml:space="preserve"> motivação dos alunos</w:t>
      </w:r>
      <w:r w:rsidR="00651AF5">
        <w:rPr>
          <w:rFonts w:ascii="Times New Roman" w:hAnsi="Times New Roman" w:cs="Times New Roman"/>
          <w:sz w:val="24"/>
          <w:szCs w:val="24"/>
        </w:rPr>
        <w:t xml:space="preserve">, </w:t>
      </w:r>
      <w:r w:rsidR="003F434B">
        <w:rPr>
          <w:rFonts w:ascii="Times New Roman" w:hAnsi="Times New Roman" w:cs="Times New Roman"/>
          <w:sz w:val="24"/>
          <w:szCs w:val="24"/>
        </w:rPr>
        <w:t>além de provê-los de enriquecimento cultural</w:t>
      </w:r>
      <w:r w:rsidR="00651AF5">
        <w:rPr>
          <w:rFonts w:ascii="Times New Roman" w:hAnsi="Times New Roman" w:cs="Times New Roman"/>
          <w:sz w:val="24"/>
          <w:szCs w:val="24"/>
        </w:rPr>
        <w:t>.</w:t>
      </w:r>
    </w:p>
    <w:p w:rsidR="0042245A" w:rsidRDefault="0058148E" w:rsidP="004224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148E">
        <w:rPr>
          <w:rFonts w:ascii="Times New Roman" w:hAnsi="Times New Roman" w:cs="Times New Roman"/>
          <w:b/>
          <w:caps/>
          <w:sz w:val="24"/>
          <w:szCs w:val="24"/>
        </w:rPr>
        <w:t>Palavras-chave</w:t>
      </w:r>
      <w:r w:rsidRPr="0058148E">
        <w:rPr>
          <w:rFonts w:ascii="Times New Roman" w:hAnsi="Times New Roman" w:cs="Times New Roman"/>
          <w:b/>
          <w:sz w:val="24"/>
          <w:szCs w:val="24"/>
        </w:rPr>
        <w:t>:</w:t>
      </w:r>
      <w:r w:rsidR="00C70999">
        <w:rPr>
          <w:rFonts w:ascii="Times New Roman" w:hAnsi="Times New Roman" w:cs="Times New Roman"/>
          <w:sz w:val="24"/>
          <w:szCs w:val="24"/>
        </w:rPr>
        <w:t xml:space="preserve">Contabilidade Pública; </w:t>
      </w:r>
      <w:r>
        <w:rPr>
          <w:rFonts w:ascii="Times New Roman" w:hAnsi="Times New Roman" w:cs="Times New Roman"/>
          <w:sz w:val="24"/>
          <w:szCs w:val="24"/>
        </w:rPr>
        <w:t>Ensino/Aprendizagem</w:t>
      </w:r>
      <w:r w:rsidRPr="0058148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70999">
        <w:rPr>
          <w:rFonts w:ascii="Times New Roman" w:hAnsi="Times New Roman" w:cs="Times New Roman"/>
          <w:sz w:val="24"/>
          <w:szCs w:val="24"/>
        </w:rPr>
        <w:t>onitoria</w:t>
      </w:r>
      <w:r w:rsidR="00B52A42">
        <w:rPr>
          <w:rFonts w:ascii="Times New Roman" w:hAnsi="Times New Roman" w:cs="Times New Roman"/>
          <w:sz w:val="24"/>
          <w:szCs w:val="24"/>
        </w:rPr>
        <w:t>.</w:t>
      </w:r>
    </w:p>
    <w:p w:rsidR="003F48F4" w:rsidRDefault="003F48F4" w:rsidP="004224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45A" w:rsidRPr="00DF31CE" w:rsidRDefault="009D6E18" w:rsidP="004224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03351">
        <w:rPr>
          <w:rFonts w:ascii="Times New Roman" w:hAnsi="Times New Roman" w:cs="Times New Roman"/>
          <w:b/>
          <w:sz w:val="24"/>
          <w:szCs w:val="24"/>
        </w:rPr>
        <w:t>I</w:t>
      </w:r>
      <w:r w:rsidR="0042245A" w:rsidRPr="00DF31CE">
        <w:rPr>
          <w:rFonts w:ascii="Times New Roman" w:hAnsi="Times New Roman" w:cs="Times New Roman"/>
          <w:b/>
          <w:sz w:val="24"/>
          <w:szCs w:val="24"/>
        </w:rPr>
        <w:t xml:space="preserve">NTRODUÇÃO </w:t>
      </w:r>
    </w:p>
    <w:p w:rsidR="00D65D20" w:rsidRDefault="00D65D20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AF5" w:rsidRPr="0058148E" w:rsidRDefault="00651AF5" w:rsidP="00651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48E">
        <w:rPr>
          <w:rFonts w:ascii="Times New Roman" w:hAnsi="Times New Roman" w:cs="Times New Roman"/>
          <w:sz w:val="24"/>
          <w:szCs w:val="24"/>
        </w:rPr>
        <w:t>Embora a disciplina s</w:t>
      </w:r>
      <w:r>
        <w:rPr>
          <w:rFonts w:ascii="Times New Roman" w:hAnsi="Times New Roman" w:cs="Times New Roman"/>
          <w:sz w:val="24"/>
          <w:szCs w:val="24"/>
        </w:rPr>
        <w:t>iga</w:t>
      </w:r>
      <w:r w:rsidRPr="0058148E">
        <w:rPr>
          <w:rFonts w:ascii="Times New Roman" w:hAnsi="Times New Roman" w:cs="Times New Roman"/>
          <w:sz w:val="24"/>
          <w:szCs w:val="24"/>
        </w:rPr>
        <w:t xml:space="preserve"> seu</w:t>
      </w:r>
      <w:r w:rsidR="0000004F">
        <w:rPr>
          <w:rFonts w:ascii="Times New Roman" w:hAnsi="Times New Roman" w:cs="Times New Roman"/>
          <w:sz w:val="24"/>
          <w:szCs w:val="24"/>
        </w:rPr>
        <w:t xml:space="preserve"> plano de conteúdo programático de modo apropriado e condizente com a realidade do setor público</w:t>
      </w:r>
      <w:r w:rsidRPr="0058148E">
        <w:rPr>
          <w:rFonts w:ascii="Times New Roman" w:hAnsi="Times New Roman" w:cs="Times New Roman"/>
          <w:sz w:val="24"/>
          <w:szCs w:val="24"/>
        </w:rPr>
        <w:t xml:space="preserve">, é </w:t>
      </w:r>
      <w:r>
        <w:rPr>
          <w:rFonts w:ascii="Times New Roman" w:hAnsi="Times New Roman" w:cs="Times New Roman"/>
          <w:sz w:val="24"/>
          <w:szCs w:val="24"/>
        </w:rPr>
        <w:t>considerada</w:t>
      </w:r>
      <w:r w:rsidRPr="0058148E">
        <w:rPr>
          <w:rFonts w:ascii="Times New Roman" w:hAnsi="Times New Roman" w:cs="Times New Roman"/>
          <w:sz w:val="24"/>
          <w:szCs w:val="24"/>
        </w:rPr>
        <w:t xml:space="preserve"> pelos acadêmicos como </w:t>
      </w:r>
      <w:r w:rsidR="006F347F">
        <w:rPr>
          <w:rFonts w:ascii="Times New Roman" w:hAnsi="Times New Roman" w:cs="Times New Roman"/>
          <w:sz w:val="24"/>
          <w:szCs w:val="24"/>
        </w:rPr>
        <w:t xml:space="preserve">complexa e </w:t>
      </w:r>
      <w:r w:rsidRPr="0058148E">
        <w:rPr>
          <w:rFonts w:ascii="Times New Roman" w:hAnsi="Times New Roman" w:cs="Times New Roman"/>
          <w:sz w:val="24"/>
          <w:szCs w:val="24"/>
        </w:rPr>
        <w:t>complicada</w:t>
      </w:r>
      <w:r w:rsidR="0000004F">
        <w:rPr>
          <w:rFonts w:ascii="Times New Roman" w:hAnsi="Times New Roman" w:cs="Times New Roman"/>
          <w:sz w:val="24"/>
          <w:szCs w:val="24"/>
        </w:rPr>
        <w:t>. Muito provável que se interponha a este fato, como resultante deste entendimento, o notório interessed</w:t>
      </w:r>
      <w:r>
        <w:rPr>
          <w:rFonts w:ascii="Times New Roman" w:hAnsi="Times New Roman" w:cs="Times New Roman"/>
          <w:sz w:val="24"/>
          <w:szCs w:val="24"/>
        </w:rPr>
        <w:t>os alunos de Ciências Contábeis a seguir a contabilidade societária</w:t>
      </w:r>
      <w:r w:rsidRPr="0058148E">
        <w:rPr>
          <w:rFonts w:ascii="Times New Roman" w:hAnsi="Times New Roman" w:cs="Times New Roman"/>
          <w:sz w:val="24"/>
          <w:szCs w:val="24"/>
        </w:rPr>
        <w:t xml:space="preserve">. Diante </w:t>
      </w:r>
      <w:r>
        <w:rPr>
          <w:rFonts w:ascii="Times New Roman" w:hAnsi="Times New Roman" w:cs="Times New Roman"/>
          <w:sz w:val="24"/>
          <w:szCs w:val="24"/>
        </w:rPr>
        <w:t>deste cenário</w:t>
      </w:r>
      <w:r w:rsidRPr="005814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afunção</w:t>
      </w:r>
      <w:r w:rsidRPr="0058148E">
        <w:rPr>
          <w:rFonts w:ascii="Times New Roman" w:hAnsi="Times New Roman" w:cs="Times New Roman"/>
          <w:sz w:val="24"/>
          <w:szCs w:val="24"/>
        </w:rPr>
        <w:t xml:space="preserve"> do monitor tem um caráter interdisciplinar</w:t>
      </w:r>
      <w:r w:rsidR="002E774F">
        <w:rPr>
          <w:rFonts w:ascii="Times New Roman" w:hAnsi="Times New Roman" w:cs="Times New Roman"/>
          <w:sz w:val="24"/>
          <w:szCs w:val="24"/>
        </w:rPr>
        <w:t xml:space="preserve"> e mediador</w:t>
      </w:r>
      <w:r w:rsidRPr="0058148E">
        <w:rPr>
          <w:rFonts w:ascii="Times New Roman" w:hAnsi="Times New Roman" w:cs="Times New Roman"/>
          <w:sz w:val="24"/>
          <w:szCs w:val="24"/>
        </w:rPr>
        <w:t>, transforma</w:t>
      </w:r>
      <w:r w:rsidR="002E774F">
        <w:rPr>
          <w:rFonts w:ascii="Times New Roman" w:hAnsi="Times New Roman" w:cs="Times New Roman"/>
          <w:sz w:val="24"/>
          <w:szCs w:val="24"/>
        </w:rPr>
        <w:t>ndo-se assim</w:t>
      </w:r>
      <w:r w:rsidRPr="0058148E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peça</w:t>
      </w:r>
      <w:r w:rsidRPr="0058148E">
        <w:rPr>
          <w:rFonts w:ascii="Times New Roman" w:hAnsi="Times New Roman" w:cs="Times New Roman"/>
          <w:sz w:val="24"/>
          <w:szCs w:val="24"/>
        </w:rPr>
        <w:t xml:space="preserve"> fundamental no processo ensino/aprendizagem, possibilita</w:t>
      </w:r>
      <w:r w:rsidR="0000004F">
        <w:rPr>
          <w:rFonts w:ascii="Times New Roman" w:hAnsi="Times New Roman" w:cs="Times New Roman"/>
          <w:sz w:val="24"/>
          <w:szCs w:val="24"/>
        </w:rPr>
        <w:t>ndo</w:t>
      </w:r>
      <w:r w:rsidRPr="0058148E">
        <w:rPr>
          <w:rFonts w:ascii="Times New Roman" w:hAnsi="Times New Roman" w:cs="Times New Roman"/>
          <w:sz w:val="24"/>
          <w:szCs w:val="24"/>
        </w:rPr>
        <w:t xml:space="preserve"> ao discente uma melhoria na formação acadêmica e </w:t>
      </w:r>
      <w:r w:rsidR="0000004F">
        <w:rPr>
          <w:rFonts w:ascii="Times New Roman" w:hAnsi="Times New Roman" w:cs="Times New Roman"/>
          <w:sz w:val="24"/>
          <w:szCs w:val="24"/>
        </w:rPr>
        <w:t>a</w:t>
      </w:r>
      <w:r w:rsidRPr="0058148E">
        <w:rPr>
          <w:rFonts w:ascii="Times New Roman" w:hAnsi="Times New Roman" w:cs="Times New Roman"/>
          <w:sz w:val="24"/>
          <w:szCs w:val="24"/>
        </w:rPr>
        <w:t xml:space="preserve"> perspectiva de uma projeção promissora </w:t>
      </w:r>
      <w:r w:rsidR="0000004F">
        <w:rPr>
          <w:rFonts w:ascii="Times New Roman" w:hAnsi="Times New Roman" w:cs="Times New Roman"/>
          <w:sz w:val="24"/>
          <w:szCs w:val="24"/>
        </w:rPr>
        <w:t>n</w:t>
      </w:r>
      <w:r w:rsidRPr="0058148E">
        <w:rPr>
          <w:rFonts w:ascii="Times New Roman" w:hAnsi="Times New Roman" w:cs="Times New Roman"/>
          <w:sz w:val="24"/>
          <w:szCs w:val="24"/>
        </w:rPr>
        <w:t>a carreira</w:t>
      </w:r>
      <w:r w:rsidR="0000004F">
        <w:rPr>
          <w:rFonts w:ascii="Times New Roman" w:hAnsi="Times New Roman" w:cs="Times New Roman"/>
          <w:sz w:val="24"/>
          <w:szCs w:val="24"/>
        </w:rPr>
        <w:t>, seja</w:t>
      </w:r>
      <w:r w:rsidR="002E774F">
        <w:rPr>
          <w:rFonts w:ascii="Times New Roman" w:hAnsi="Times New Roman" w:cs="Times New Roman"/>
          <w:sz w:val="24"/>
          <w:szCs w:val="24"/>
        </w:rPr>
        <w:t xml:space="preserve"> no setor público como contador interveniente da gestão pública ou na docência.</w:t>
      </w:r>
    </w:p>
    <w:p w:rsidR="00092595" w:rsidRDefault="00092595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prática da monitoria </w:t>
      </w:r>
      <w:r w:rsidR="00884B29">
        <w:rPr>
          <w:rFonts w:ascii="Times New Roman" w:hAnsi="Times New Roman" w:cs="Times New Roman"/>
          <w:sz w:val="24"/>
          <w:szCs w:val="24"/>
        </w:rPr>
        <w:t xml:space="preserve">apresenta em </w:t>
      </w:r>
      <w:r w:rsidR="00906603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 xml:space="preserve">contexto específico </w:t>
      </w:r>
      <w:r w:rsidR="00884B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</w:t>
      </w:r>
      <w:r w:rsidR="00884B29">
        <w:rPr>
          <w:rFonts w:ascii="Times New Roman" w:hAnsi="Times New Roman" w:cs="Times New Roman"/>
          <w:sz w:val="24"/>
          <w:szCs w:val="24"/>
        </w:rPr>
        <w:t xml:space="preserve">ortunidade para os estudantes </w:t>
      </w:r>
      <w:r w:rsidR="00906603">
        <w:rPr>
          <w:rFonts w:ascii="Times New Roman" w:hAnsi="Times New Roman" w:cs="Times New Roman"/>
          <w:sz w:val="24"/>
          <w:szCs w:val="24"/>
        </w:rPr>
        <w:t>aprofundarem os conteúdos relativos à matéria trabalhada em sala de aula, bem como solucionar as dificuldades encontradas</w:t>
      </w:r>
      <w:r w:rsidR="003442D7">
        <w:rPr>
          <w:rFonts w:ascii="Times New Roman" w:hAnsi="Times New Roman" w:cs="Times New Roman"/>
          <w:sz w:val="24"/>
          <w:szCs w:val="24"/>
        </w:rPr>
        <w:t xml:space="preserve"> na prática</w:t>
      </w:r>
      <w:r w:rsidR="00906603">
        <w:rPr>
          <w:rFonts w:ascii="Times New Roman" w:hAnsi="Times New Roman" w:cs="Times New Roman"/>
          <w:sz w:val="24"/>
          <w:szCs w:val="24"/>
        </w:rPr>
        <w:t xml:space="preserve">, além de </w:t>
      </w:r>
      <w:r w:rsidR="00884B29">
        <w:rPr>
          <w:rFonts w:ascii="Times New Roman" w:hAnsi="Times New Roman" w:cs="Times New Roman"/>
          <w:sz w:val="24"/>
          <w:szCs w:val="24"/>
        </w:rPr>
        <w:t>desenvolverem suas habilidades educativas</w:t>
      </w:r>
      <w:r w:rsidR="00906603">
        <w:rPr>
          <w:rFonts w:ascii="Times New Roman" w:hAnsi="Times New Roman" w:cs="Times New Roman"/>
          <w:sz w:val="24"/>
          <w:szCs w:val="24"/>
        </w:rPr>
        <w:t>.</w:t>
      </w:r>
    </w:p>
    <w:p w:rsidR="006F347F" w:rsidRDefault="006F347F" w:rsidP="006F3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uso dessa prática,</w:t>
      </w:r>
      <w:r w:rsidR="002E774F">
        <w:rPr>
          <w:rFonts w:ascii="Times New Roman" w:hAnsi="Times New Roman" w:cs="Times New Roman"/>
          <w:sz w:val="24"/>
          <w:szCs w:val="24"/>
        </w:rPr>
        <w:t xml:space="preserve"> participando do programa enquanto monitores,</w:t>
      </w:r>
      <w:r>
        <w:rPr>
          <w:rFonts w:ascii="Times New Roman" w:hAnsi="Times New Roman" w:cs="Times New Roman"/>
          <w:sz w:val="24"/>
          <w:szCs w:val="24"/>
        </w:rPr>
        <w:t xml:space="preserve"> os discentes podem perceber a verdadeira essência da docência</w:t>
      </w:r>
      <w:r w:rsidR="002E774F">
        <w:rPr>
          <w:rFonts w:ascii="Times New Roman" w:hAnsi="Times New Roman" w:cs="Times New Roman"/>
          <w:sz w:val="24"/>
          <w:szCs w:val="24"/>
        </w:rPr>
        <w:t xml:space="preserve">, obtida a partir da experiência em campo e ao </w:t>
      </w:r>
      <w:r>
        <w:rPr>
          <w:rFonts w:ascii="Times New Roman" w:hAnsi="Times New Roman" w:cs="Times New Roman"/>
          <w:sz w:val="24"/>
          <w:szCs w:val="24"/>
        </w:rPr>
        <w:t>deparar</w:t>
      </w:r>
      <w:r w:rsidR="002E774F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com as principais dificuldades na carreira.</w:t>
      </w:r>
    </w:p>
    <w:p w:rsidR="00906603" w:rsidRDefault="00906603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CANDAU (196, p.12) </w:t>
      </w:r>
      <w:r w:rsidR="000944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prática da Monitoria no contexto educativo é um processo pelo qual os alunos aprendem entre iguais em situação de ensino-aprendizagem. A monitoria, como procedimento pedagógico, tem demonstrado sua utilidade, à medida que atende às dimensões “política, técnica e humana da prática pedagógica”.</w:t>
      </w:r>
    </w:p>
    <w:p w:rsidR="000944DB" w:rsidRDefault="000944DB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concepção</w:t>
      </w:r>
      <w:r w:rsidR="00973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monitoria durante o curso de graduação </w:t>
      </w:r>
      <w:r w:rsidR="00973C01">
        <w:rPr>
          <w:rFonts w:ascii="Times New Roman" w:hAnsi="Times New Roman" w:cs="Times New Roman"/>
          <w:sz w:val="24"/>
          <w:szCs w:val="24"/>
        </w:rPr>
        <w:t>eleva o crescimento e a me</w:t>
      </w:r>
      <w:r w:rsidR="002E774F">
        <w:rPr>
          <w:rFonts w:ascii="Times New Roman" w:hAnsi="Times New Roman" w:cs="Times New Roman"/>
          <w:sz w:val="24"/>
          <w:szCs w:val="24"/>
        </w:rPr>
        <w:t>lhoria da vida acadêmica, é exímia em proporcionar</w:t>
      </w:r>
      <w:r w:rsidR="00973C01">
        <w:rPr>
          <w:rFonts w:ascii="Times New Roman" w:hAnsi="Times New Roman" w:cs="Times New Roman"/>
          <w:sz w:val="24"/>
          <w:szCs w:val="24"/>
        </w:rPr>
        <w:t xml:space="preserve"> ambiente</w:t>
      </w:r>
      <w:r w:rsidR="002E77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o estu</w:t>
      </w:r>
      <w:r w:rsidR="00973C01">
        <w:rPr>
          <w:rFonts w:ascii="Times New Roman" w:hAnsi="Times New Roman" w:cs="Times New Roman"/>
          <w:sz w:val="24"/>
          <w:szCs w:val="24"/>
        </w:rPr>
        <w:t xml:space="preserve">do e </w:t>
      </w:r>
      <w:r w:rsidR="00457D61">
        <w:rPr>
          <w:rFonts w:ascii="Times New Roman" w:hAnsi="Times New Roman" w:cs="Times New Roman"/>
          <w:sz w:val="24"/>
          <w:szCs w:val="24"/>
        </w:rPr>
        <w:t xml:space="preserve">a </w:t>
      </w:r>
      <w:r w:rsidR="00973C01">
        <w:rPr>
          <w:rFonts w:ascii="Times New Roman" w:hAnsi="Times New Roman" w:cs="Times New Roman"/>
          <w:sz w:val="24"/>
          <w:szCs w:val="24"/>
        </w:rPr>
        <w:t xml:space="preserve">pesquisa, além </w:t>
      </w:r>
      <w:r w:rsidR="00457D61">
        <w:rPr>
          <w:rFonts w:ascii="Times New Roman" w:hAnsi="Times New Roman" w:cs="Times New Roman"/>
          <w:sz w:val="24"/>
          <w:szCs w:val="24"/>
        </w:rPr>
        <w:t>de</w:t>
      </w:r>
      <w:r w:rsidR="00973C01">
        <w:rPr>
          <w:rFonts w:ascii="Times New Roman" w:hAnsi="Times New Roman" w:cs="Times New Roman"/>
          <w:sz w:val="24"/>
          <w:szCs w:val="24"/>
        </w:rPr>
        <w:t xml:space="preserve"> desenvolve</w:t>
      </w:r>
      <w:r w:rsidR="00457D61">
        <w:rPr>
          <w:rFonts w:ascii="Times New Roman" w:hAnsi="Times New Roman" w:cs="Times New Roman"/>
          <w:sz w:val="24"/>
          <w:szCs w:val="24"/>
        </w:rPr>
        <w:t>r</w:t>
      </w:r>
      <w:r w:rsidR="00973C01">
        <w:rPr>
          <w:rFonts w:ascii="Times New Roman" w:hAnsi="Times New Roman" w:cs="Times New Roman"/>
          <w:sz w:val="24"/>
          <w:szCs w:val="24"/>
        </w:rPr>
        <w:t xml:space="preserve"> a capacidade do monitor na formação à docência.</w:t>
      </w:r>
    </w:p>
    <w:p w:rsidR="00973C01" w:rsidRDefault="00973C01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</w:t>
      </w:r>
      <w:r w:rsidR="00F6276F">
        <w:rPr>
          <w:rFonts w:ascii="Times New Roman" w:hAnsi="Times New Roman" w:cs="Times New Roman"/>
          <w:sz w:val="24"/>
          <w:szCs w:val="24"/>
        </w:rPr>
        <w:t>apresentamos</w:t>
      </w:r>
      <w:r w:rsidR="00E467E8">
        <w:rPr>
          <w:rFonts w:ascii="Times New Roman" w:hAnsi="Times New Roman" w:cs="Times New Roman"/>
          <w:sz w:val="24"/>
          <w:szCs w:val="24"/>
        </w:rPr>
        <w:t xml:space="preserve"> aos leitores</w:t>
      </w:r>
      <w:r w:rsidR="00FA4C7B">
        <w:rPr>
          <w:rFonts w:ascii="Times New Roman" w:hAnsi="Times New Roman" w:cs="Times New Roman"/>
          <w:sz w:val="24"/>
          <w:szCs w:val="24"/>
        </w:rPr>
        <w:t xml:space="preserve"> asconsiderações abarcadas</w:t>
      </w:r>
      <w:r w:rsidR="00E467E8">
        <w:rPr>
          <w:rFonts w:ascii="Times New Roman" w:hAnsi="Times New Roman" w:cs="Times New Roman"/>
          <w:sz w:val="24"/>
          <w:szCs w:val="24"/>
        </w:rPr>
        <w:t xml:space="preserve"> da experiência de monitoria e pesquisa, trazendo os resultados das atividades realizadas em aulas, aliad</w:t>
      </w:r>
      <w:r w:rsidR="002B60B1">
        <w:rPr>
          <w:rFonts w:ascii="Times New Roman" w:hAnsi="Times New Roman" w:cs="Times New Roman"/>
          <w:sz w:val="24"/>
          <w:szCs w:val="24"/>
        </w:rPr>
        <w:t>a</w:t>
      </w:r>
      <w:r w:rsidR="00FA4C7B">
        <w:rPr>
          <w:rFonts w:ascii="Times New Roman" w:hAnsi="Times New Roman" w:cs="Times New Roman"/>
          <w:sz w:val="24"/>
          <w:szCs w:val="24"/>
        </w:rPr>
        <w:t>s</w:t>
      </w:r>
      <w:r w:rsidR="002B60B1">
        <w:rPr>
          <w:rFonts w:ascii="Times New Roman" w:hAnsi="Times New Roman" w:cs="Times New Roman"/>
          <w:sz w:val="24"/>
          <w:szCs w:val="24"/>
        </w:rPr>
        <w:t xml:space="preserve"> a uma estratégia metodológica de aprendizagem e desenvolvimento </w:t>
      </w:r>
      <w:r w:rsidR="00FA4C7B">
        <w:rPr>
          <w:rFonts w:ascii="Times New Roman" w:hAnsi="Times New Roman" w:cs="Times New Roman"/>
          <w:sz w:val="24"/>
          <w:szCs w:val="24"/>
        </w:rPr>
        <w:t xml:space="preserve">da </w:t>
      </w:r>
      <w:r w:rsidR="002B60B1">
        <w:rPr>
          <w:rFonts w:ascii="Times New Roman" w:hAnsi="Times New Roman" w:cs="Times New Roman"/>
          <w:sz w:val="24"/>
          <w:szCs w:val="24"/>
        </w:rPr>
        <w:t xml:space="preserve">iniciação </w:t>
      </w:r>
      <w:r w:rsidR="00FA4C7B">
        <w:rPr>
          <w:rFonts w:ascii="Times New Roman" w:hAnsi="Times New Roman" w:cs="Times New Roman"/>
          <w:sz w:val="24"/>
          <w:szCs w:val="24"/>
        </w:rPr>
        <w:t>à</w:t>
      </w:r>
      <w:r w:rsidR="002B60B1">
        <w:rPr>
          <w:rFonts w:ascii="Times New Roman" w:hAnsi="Times New Roman" w:cs="Times New Roman"/>
          <w:sz w:val="24"/>
          <w:szCs w:val="24"/>
        </w:rPr>
        <w:t xml:space="preserve"> docência.</w:t>
      </w:r>
    </w:p>
    <w:p w:rsidR="009D6E18" w:rsidRDefault="009D6E18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E18" w:rsidRPr="009F6FB0" w:rsidRDefault="009D6E18" w:rsidP="009D6E1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Style w:val="ft"/>
          <w:rFonts w:ascii="Arial" w:hAnsi="Arial" w:cs="Arial"/>
          <w:b/>
          <w:shd w:val="clear" w:color="auto" w:fill="FFFFFF"/>
        </w:rPr>
      </w:pPr>
      <w:r w:rsidRPr="009F6FB0">
        <w:rPr>
          <w:rFonts w:ascii="Times New Roman" w:hAnsi="Times New Roman"/>
          <w:b/>
          <w:sz w:val="24"/>
          <w:szCs w:val="24"/>
        </w:rPr>
        <w:t xml:space="preserve">2.  OBJETIVO </w:t>
      </w:r>
    </w:p>
    <w:p w:rsidR="009D6E18" w:rsidRPr="009F6FB0" w:rsidRDefault="009D6E18" w:rsidP="009D6E1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47F" w:rsidRDefault="009D6E18" w:rsidP="00FA4C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FB0">
        <w:rPr>
          <w:rFonts w:ascii="Times New Roman" w:hAnsi="Times New Roman"/>
          <w:sz w:val="24"/>
          <w:szCs w:val="24"/>
        </w:rPr>
        <w:t xml:space="preserve">Proporcionar aos leitores uma reflexão </w:t>
      </w:r>
      <w:r w:rsidR="00FA4C7B">
        <w:rPr>
          <w:rFonts w:ascii="Times New Roman" w:hAnsi="Times New Roman" w:cs="Times New Roman"/>
          <w:sz w:val="24"/>
          <w:szCs w:val="24"/>
        </w:rPr>
        <w:t>da experiência de monitoria e pesquisa, trazendo os resultados das atividades realizadas em aulas, aliadas a uma estratégia metodológica de aprendizagem e desenvolvimento d</w:t>
      </w:r>
      <w:r w:rsidR="00AA30B8">
        <w:rPr>
          <w:rFonts w:ascii="Times New Roman" w:hAnsi="Times New Roman" w:cs="Times New Roman"/>
          <w:sz w:val="24"/>
          <w:szCs w:val="24"/>
        </w:rPr>
        <w:t>e</w:t>
      </w:r>
      <w:r w:rsidR="00FA4C7B">
        <w:rPr>
          <w:rFonts w:ascii="Times New Roman" w:hAnsi="Times New Roman" w:cs="Times New Roman"/>
          <w:sz w:val="24"/>
          <w:szCs w:val="24"/>
        </w:rPr>
        <w:t xml:space="preserve"> iniciação à docência</w:t>
      </w:r>
      <w:r>
        <w:rPr>
          <w:rFonts w:ascii="Times New Roman" w:hAnsi="Times New Roman"/>
          <w:sz w:val="24"/>
          <w:szCs w:val="24"/>
        </w:rPr>
        <w:t>, p</w:t>
      </w:r>
      <w:r w:rsidR="006F347F">
        <w:rPr>
          <w:rFonts w:ascii="Times New Roman" w:hAnsi="Times New Roman" w:cs="Times New Roman"/>
          <w:sz w:val="24"/>
          <w:szCs w:val="24"/>
        </w:rPr>
        <w:t xml:space="preserve">or fim, apresentar </w:t>
      </w:r>
      <w:r>
        <w:rPr>
          <w:rFonts w:ascii="Times New Roman" w:hAnsi="Times New Roman" w:cs="Times New Roman"/>
          <w:sz w:val="24"/>
          <w:szCs w:val="24"/>
        </w:rPr>
        <w:t>o resultado da</w:t>
      </w:r>
      <w:r w:rsidR="006F347F">
        <w:rPr>
          <w:rFonts w:ascii="Times New Roman" w:hAnsi="Times New Roman" w:cs="Times New Roman"/>
          <w:sz w:val="24"/>
          <w:szCs w:val="24"/>
        </w:rPr>
        <w:t>s atividades desenvolvidas no Programa de Monitoria da Disciplina Contabilidade Pública, ministrada pelo professor Marcelo Pinheiro de Lucena no curso de Ciências Contábeis, do CCSA, UFPB, Campus I, João Pessoa-PB.</w:t>
      </w:r>
    </w:p>
    <w:p w:rsidR="006F347F" w:rsidRDefault="006F347F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E18" w:rsidRPr="009F6FB0" w:rsidRDefault="009D6E18" w:rsidP="009D6E1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F6FB0">
        <w:rPr>
          <w:rFonts w:ascii="Times New Roman" w:hAnsi="Times New Roman"/>
          <w:b/>
          <w:sz w:val="24"/>
          <w:szCs w:val="24"/>
        </w:rPr>
        <w:t>3.  METODOLOGIA</w:t>
      </w:r>
    </w:p>
    <w:p w:rsidR="00906603" w:rsidRDefault="00906603" w:rsidP="00422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E18" w:rsidRPr="009F6FB0" w:rsidRDefault="009D6E18" w:rsidP="009D6E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6FB0">
        <w:rPr>
          <w:rFonts w:ascii="Times New Roman" w:hAnsi="Times New Roman"/>
          <w:sz w:val="24"/>
          <w:szCs w:val="24"/>
        </w:rPr>
        <w:t xml:space="preserve">No que </w:t>
      </w:r>
      <w:r>
        <w:rPr>
          <w:rFonts w:ascii="Times New Roman" w:hAnsi="Times New Roman"/>
          <w:sz w:val="24"/>
          <w:szCs w:val="24"/>
        </w:rPr>
        <w:t xml:space="preserve">diz respeito </w:t>
      </w:r>
      <w:r w:rsidRPr="009F6FB0">
        <w:rPr>
          <w:rFonts w:ascii="Times New Roman" w:hAnsi="Times New Roman"/>
          <w:sz w:val="24"/>
          <w:szCs w:val="24"/>
        </w:rPr>
        <w:t>à metodologia, tem-se que a proposta de ensino foi contemplada basicamente a part</w:t>
      </w:r>
      <w:r w:rsidR="00FA4C7B">
        <w:rPr>
          <w:rFonts w:ascii="Times New Roman" w:hAnsi="Times New Roman"/>
          <w:sz w:val="24"/>
          <w:szCs w:val="24"/>
        </w:rPr>
        <w:t>ir de duas didáticas, a saber, a</w:t>
      </w:r>
      <w:r>
        <w:rPr>
          <w:rFonts w:ascii="Times New Roman" w:hAnsi="Times New Roman"/>
          <w:sz w:val="24"/>
          <w:szCs w:val="24"/>
        </w:rPr>
        <w:t xml:space="preserve">prática </w:t>
      </w:r>
      <w:r w:rsidR="00C36478">
        <w:rPr>
          <w:rFonts w:ascii="Times New Roman" w:hAnsi="Times New Roman"/>
          <w:sz w:val="24"/>
          <w:szCs w:val="24"/>
        </w:rPr>
        <w:t xml:space="preserve">em laboratório </w:t>
      </w:r>
      <w:r w:rsidRPr="009F6FB0">
        <w:rPr>
          <w:rFonts w:ascii="Times New Roman" w:hAnsi="Times New Roman"/>
          <w:sz w:val="24"/>
          <w:szCs w:val="24"/>
        </w:rPr>
        <w:t xml:space="preserve">e </w:t>
      </w:r>
      <w:r w:rsidR="00FA4C7B">
        <w:rPr>
          <w:rFonts w:ascii="Times New Roman" w:hAnsi="Times New Roman"/>
          <w:sz w:val="24"/>
          <w:szCs w:val="24"/>
        </w:rPr>
        <w:t>a exposição teórica</w:t>
      </w:r>
      <w:r w:rsidR="00F073BD">
        <w:rPr>
          <w:rFonts w:ascii="Times New Roman" w:hAnsi="Times New Roman"/>
          <w:sz w:val="24"/>
          <w:szCs w:val="24"/>
        </w:rPr>
        <w:t xml:space="preserve"> em sala de aula</w:t>
      </w:r>
      <w:r w:rsidRPr="009F6FB0">
        <w:rPr>
          <w:rFonts w:ascii="Times New Roman" w:hAnsi="Times New Roman"/>
          <w:sz w:val="24"/>
          <w:szCs w:val="24"/>
        </w:rPr>
        <w:t xml:space="preserve">. </w:t>
      </w:r>
    </w:p>
    <w:p w:rsidR="009D6E18" w:rsidRPr="009F6FB0" w:rsidRDefault="009D6E18" w:rsidP="009D6E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6FB0">
        <w:rPr>
          <w:rFonts w:ascii="Times New Roman" w:hAnsi="Times New Roman"/>
          <w:sz w:val="24"/>
          <w:szCs w:val="24"/>
        </w:rPr>
        <w:t xml:space="preserve">Na </w:t>
      </w:r>
      <w:r w:rsidR="00F073BD">
        <w:rPr>
          <w:rFonts w:ascii="Times New Roman" w:hAnsi="Times New Roman"/>
          <w:sz w:val="24"/>
          <w:szCs w:val="24"/>
        </w:rPr>
        <w:t>prática</w:t>
      </w:r>
      <w:r w:rsidRPr="009F6FB0">
        <w:rPr>
          <w:rFonts w:ascii="Times New Roman" w:hAnsi="Times New Roman"/>
          <w:sz w:val="24"/>
          <w:szCs w:val="24"/>
        </w:rPr>
        <w:t xml:space="preserve">, o trabalho </w:t>
      </w:r>
      <w:r w:rsidR="00F073BD">
        <w:rPr>
          <w:rFonts w:ascii="Times New Roman" w:hAnsi="Times New Roman"/>
          <w:sz w:val="24"/>
          <w:szCs w:val="24"/>
        </w:rPr>
        <w:t xml:space="preserve">do professor e do monitor </w:t>
      </w:r>
      <w:r w:rsidRPr="009F6FB0">
        <w:rPr>
          <w:rFonts w:ascii="Times New Roman" w:hAnsi="Times New Roman"/>
          <w:sz w:val="24"/>
          <w:szCs w:val="24"/>
        </w:rPr>
        <w:t xml:space="preserve">efetuou-se por meio </w:t>
      </w:r>
      <w:r w:rsidR="00F073BD">
        <w:rPr>
          <w:rFonts w:ascii="Times New Roman" w:hAnsi="Times New Roman"/>
          <w:sz w:val="24"/>
          <w:szCs w:val="24"/>
        </w:rPr>
        <w:t xml:space="preserve">do laboratório, onde todos os alunos vivenciaram a realidade que contempla as Prefeituras, mostrando como </w:t>
      </w:r>
      <w:r w:rsidR="00F073BD">
        <w:rPr>
          <w:rFonts w:ascii="Times New Roman" w:hAnsi="Times New Roman"/>
          <w:sz w:val="24"/>
          <w:szCs w:val="24"/>
        </w:rPr>
        <w:lastRenderedPageBreak/>
        <w:t xml:space="preserve">o contador deve se comportar diante das dificuldades </w:t>
      </w:r>
      <w:r w:rsidR="00FA4C7B">
        <w:rPr>
          <w:rFonts w:ascii="Times New Roman" w:hAnsi="Times New Roman"/>
          <w:sz w:val="24"/>
          <w:szCs w:val="24"/>
        </w:rPr>
        <w:t>com as quais</w:t>
      </w:r>
      <w:r w:rsidR="00F073BD">
        <w:rPr>
          <w:rFonts w:ascii="Times New Roman" w:hAnsi="Times New Roman"/>
          <w:sz w:val="24"/>
          <w:szCs w:val="24"/>
        </w:rPr>
        <w:t xml:space="preserve"> iram se deparar.</w:t>
      </w:r>
      <w:r w:rsidRPr="009F6FB0">
        <w:rPr>
          <w:rFonts w:ascii="Times New Roman" w:hAnsi="Times New Roman"/>
          <w:sz w:val="24"/>
          <w:szCs w:val="24"/>
        </w:rPr>
        <w:t xml:space="preserve"> Já no que corresponde ao trabalho </w:t>
      </w:r>
      <w:r w:rsidR="00F073BD">
        <w:rPr>
          <w:rFonts w:ascii="Times New Roman" w:hAnsi="Times New Roman"/>
          <w:sz w:val="24"/>
          <w:szCs w:val="24"/>
        </w:rPr>
        <w:t>em sala de aula</w:t>
      </w:r>
      <w:r w:rsidRPr="009F6FB0">
        <w:rPr>
          <w:rFonts w:ascii="Times New Roman" w:hAnsi="Times New Roman"/>
          <w:sz w:val="24"/>
          <w:szCs w:val="24"/>
        </w:rPr>
        <w:t>, regist</w:t>
      </w:r>
      <w:r w:rsidR="00F073BD">
        <w:rPr>
          <w:rFonts w:ascii="Times New Roman" w:hAnsi="Times New Roman"/>
          <w:sz w:val="24"/>
          <w:szCs w:val="24"/>
        </w:rPr>
        <w:t>r</w:t>
      </w:r>
      <w:r w:rsidR="00FA4C7B">
        <w:rPr>
          <w:rFonts w:ascii="Times New Roman" w:hAnsi="Times New Roman"/>
          <w:sz w:val="24"/>
          <w:szCs w:val="24"/>
        </w:rPr>
        <w:t>e</w:t>
      </w:r>
      <w:r w:rsidRPr="009F6FB0">
        <w:rPr>
          <w:rFonts w:ascii="Times New Roman" w:hAnsi="Times New Roman"/>
          <w:sz w:val="24"/>
          <w:szCs w:val="24"/>
        </w:rPr>
        <w:t>-se que foi realizad</w:t>
      </w:r>
      <w:r w:rsidR="00CD01F2">
        <w:rPr>
          <w:rFonts w:ascii="Times New Roman" w:hAnsi="Times New Roman"/>
          <w:sz w:val="24"/>
          <w:szCs w:val="24"/>
        </w:rPr>
        <w:t>a uma</w:t>
      </w:r>
      <w:r w:rsidR="00F073BD">
        <w:rPr>
          <w:rFonts w:ascii="Times New Roman" w:hAnsi="Times New Roman"/>
          <w:sz w:val="24"/>
          <w:szCs w:val="24"/>
        </w:rPr>
        <w:t xml:space="preserve"> explanação</w:t>
      </w:r>
      <w:r w:rsidR="00CD01F2">
        <w:rPr>
          <w:rFonts w:ascii="Times New Roman" w:hAnsi="Times New Roman"/>
          <w:sz w:val="24"/>
          <w:szCs w:val="24"/>
        </w:rPr>
        <w:t xml:space="preserve"> mais detalhada </w:t>
      </w:r>
      <w:r w:rsidR="00F073BD">
        <w:rPr>
          <w:rFonts w:ascii="Times New Roman" w:hAnsi="Times New Roman"/>
          <w:sz w:val="24"/>
          <w:szCs w:val="24"/>
        </w:rPr>
        <w:t xml:space="preserve">do conteúdo </w:t>
      </w:r>
      <w:r w:rsidR="00CD01F2">
        <w:rPr>
          <w:rFonts w:ascii="Times New Roman" w:hAnsi="Times New Roman"/>
          <w:sz w:val="24"/>
          <w:szCs w:val="24"/>
        </w:rPr>
        <w:t xml:space="preserve">da disciplina, </w:t>
      </w:r>
      <w:r w:rsidR="00FA4C7B">
        <w:rPr>
          <w:rFonts w:ascii="Times New Roman" w:hAnsi="Times New Roman"/>
          <w:sz w:val="24"/>
          <w:szCs w:val="24"/>
        </w:rPr>
        <w:t xml:space="preserve">ea </w:t>
      </w:r>
      <w:r w:rsidR="00CD01F2">
        <w:rPr>
          <w:rFonts w:ascii="Times New Roman" w:hAnsi="Times New Roman"/>
          <w:sz w:val="24"/>
          <w:szCs w:val="24"/>
        </w:rPr>
        <w:t>cada assunto</w:t>
      </w:r>
      <w:r w:rsidR="00FA4C7B">
        <w:rPr>
          <w:rFonts w:ascii="Times New Roman" w:hAnsi="Times New Roman"/>
          <w:sz w:val="24"/>
          <w:szCs w:val="24"/>
        </w:rPr>
        <w:t xml:space="preserve"> concluído, de imediato deu-se a busca da experiênciaem</w:t>
      </w:r>
      <w:r w:rsidR="00CD01F2">
        <w:rPr>
          <w:rFonts w:ascii="Times New Roman" w:hAnsi="Times New Roman"/>
          <w:sz w:val="24"/>
          <w:szCs w:val="24"/>
        </w:rPr>
        <w:t xml:space="preserve"> laboratório</w:t>
      </w:r>
      <w:r w:rsidR="00FA4C7B">
        <w:rPr>
          <w:rFonts w:ascii="Times New Roman" w:hAnsi="Times New Roman"/>
          <w:sz w:val="24"/>
          <w:szCs w:val="24"/>
        </w:rPr>
        <w:t>.A</w:t>
      </w:r>
      <w:r w:rsidR="00CD01F2">
        <w:rPr>
          <w:rFonts w:ascii="Times New Roman" w:hAnsi="Times New Roman"/>
          <w:sz w:val="24"/>
          <w:szCs w:val="24"/>
        </w:rPr>
        <w:t xml:space="preserve">lém disso, </w:t>
      </w:r>
      <w:r w:rsidR="00FA4C7B">
        <w:rPr>
          <w:rFonts w:ascii="Times New Roman" w:hAnsi="Times New Roman"/>
          <w:sz w:val="24"/>
          <w:szCs w:val="24"/>
        </w:rPr>
        <w:t xml:space="preserve">cabe assinalar a ocorrência de </w:t>
      </w:r>
      <w:r w:rsidR="00CD01F2">
        <w:rPr>
          <w:rFonts w:ascii="Times New Roman" w:hAnsi="Times New Roman"/>
          <w:sz w:val="24"/>
          <w:szCs w:val="24"/>
        </w:rPr>
        <w:t xml:space="preserve">momentos </w:t>
      </w:r>
      <w:r w:rsidR="00FA4C7B">
        <w:rPr>
          <w:rFonts w:ascii="Times New Roman" w:hAnsi="Times New Roman"/>
          <w:sz w:val="24"/>
          <w:szCs w:val="24"/>
        </w:rPr>
        <w:t xml:space="preserve">em </w:t>
      </w:r>
      <w:r w:rsidRPr="009F6FB0">
        <w:rPr>
          <w:rFonts w:ascii="Times New Roman" w:hAnsi="Times New Roman"/>
          <w:sz w:val="24"/>
          <w:szCs w:val="24"/>
        </w:rPr>
        <w:t xml:space="preserve">que se primou pela discussão </w:t>
      </w:r>
      <w:r w:rsidR="00FA4C7B">
        <w:rPr>
          <w:rFonts w:ascii="Times New Roman" w:hAnsi="Times New Roman"/>
          <w:sz w:val="24"/>
          <w:szCs w:val="24"/>
        </w:rPr>
        <w:t>e debate dos temas pertinentes à disciplina</w:t>
      </w:r>
      <w:r w:rsidRPr="009F6FB0">
        <w:rPr>
          <w:rFonts w:ascii="Times New Roman" w:hAnsi="Times New Roman"/>
          <w:sz w:val="24"/>
          <w:szCs w:val="24"/>
        </w:rPr>
        <w:t xml:space="preserve">. </w:t>
      </w:r>
    </w:p>
    <w:p w:rsidR="009D6E18" w:rsidRDefault="009D6E18" w:rsidP="009D6E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neste contexto que atualmente e, prioritariamente nas instituições de ensino superior, se tem </w:t>
      </w:r>
      <w:r w:rsidR="00C36478">
        <w:rPr>
          <w:rFonts w:ascii="Times New Roman" w:hAnsi="Times New Roman"/>
          <w:sz w:val="24"/>
          <w:szCs w:val="24"/>
        </w:rPr>
        <w:t>re-</w:t>
      </w:r>
      <w:r>
        <w:rPr>
          <w:rFonts w:ascii="Times New Roman" w:hAnsi="Times New Roman"/>
          <w:sz w:val="24"/>
          <w:szCs w:val="24"/>
        </w:rPr>
        <w:t xml:space="preserve">estruturado muitas das atividades de ensino, incluindo-se as atividades de monitoria. </w:t>
      </w:r>
    </w:p>
    <w:p w:rsidR="00193476" w:rsidRDefault="00193476" w:rsidP="00784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476" w:rsidRPr="00E92E3E" w:rsidRDefault="004E4D43" w:rsidP="001934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9B17E2">
        <w:rPr>
          <w:rFonts w:ascii="Times New Roman" w:hAnsi="Times New Roman" w:cs="Times New Roman"/>
          <w:b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193476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CA1F55">
        <w:rPr>
          <w:rFonts w:ascii="Times New Roman" w:hAnsi="Times New Roman" w:cs="Times New Roman"/>
          <w:b/>
          <w:caps/>
          <w:sz w:val="24"/>
          <w:szCs w:val="24"/>
        </w:rPr>
        <w:t xml:space="preserve"> OS DESAFIOS </w:t>
      </w:r>
      <w:r w:rsidR="00F05933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CA1F55">
        <w:rPr>
          <w:rFonts w:ascii="Times New Roman" w:hAnsi="Times New Roman" w:cs="Times New Roman"/>
          <w:b/>
          <w:caps/>
          <w:sz w:val="24"/>
          <w:szCs w:val="24"/>
        </w:rPr>
        <w:t>OS EDUCADORES</w:t>
      </w:r>
    </w:p>
    <w:p w:rsidR="00193476" w:rsidRDefault="00193476" w:rsidP="007842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CD4" w:rsidRDefault="00193476" w:rsidP="00031D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ação de todos os educadores é transformar seus educandos em cidad</w:t>
      </w:r>
      <w:r w:rsidR="00C03D12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>s interativos no processo de ensino/aprendizagem</w:t>
      </w:r>
      <w:r w:rsidR="005D7ACE">
        <w:rPr>
          <w:rFonts w:ascii="Times New Roman" w:hAnsi="Times New Roman" w:cs="Times New Roman"/>
          <w:sz w:val="24"/>
          <w:szCs w:val="24"/>
        </w:rPr>
        <w:t xml:space="preserve">, </w:t>
      </w:r>
      <w:r w:rsidR="0013151D">
        <w:rPr>
          <w:rFonts w:ascii="Times New Roman" w:hAnsi="Times New Roman" w:cs="Times New Roman"/>
          <w:sz w:val="24"/>
          <w:szCs w:val="24"/>
        </w:rPr>
        <w:t>coma</w:t>
      </w:r>
      <w:r w:rsidR="005D7ACE">
        <w:rPr>
          <w:rFonts w:ascii="Times New Roman" w:hAnsi="Times New Roman" w:cs="Times New Roman"/>
          <w:sz w:val="24"/>
          <w:szCs w:val="24"/>
        </w:rPr>
        <w:t xml:space="preserve"> busca incessante para </w:t>
      </w:r>
      <w:r w:rsidR="00D33C36" w:rsidRPr="00D33C36">
        <w:rPr>
          <w:rFonts w:ascii="Times New Roman" w:hAnsi="Times New Roman" w:cs="Times New Roman"/>
          <w:sz w:val="24"/>
          <w:szCs w:val="24"/>
        </w:rPr>
        <w:t>construção de um conhecimento globalizante, ao passo que se tem potencializada a com</w:t>
      </w:r>
      <w:r w:rsidR="005D7ACE">
        <w:rPr>
          <w:rFonts w:ascii="Times New Roman" w:hAnsi="Times New Roman" w:cs="Times New Roman"/>
          <w:sz w:val="24"/>
          <w:szCs w:val="24"/>
        </w:rPr>
        <w:t>preensão de conceitos diversos</w:t>
      </w:r>
      <w:r w:rsidR="00C03D12">
        <w:rPr>
          <w:rFonts w:ascii="Times New Roman" w:hAnsi="Times New Roman" w:cs="Times New Roman"/>
          <w:sz w:val="24"/>
          <w:szCs w:val="24"/>
        </w:rPr>
        <w:t xml:space="preserve">.Em </w:t>
      </w:r>
      <w:r w:rsidR="005D7ACE">
        <w:rPr>
          <w:rFonts w:ascii="Times New Roman" w:hAnsi="Times New Roman" w:cs="Times New Roman"/>
          <w:sz w:val="24"/>
          <w:szCs w:val="24"/>
        </w:rPr>
        <w:t>contabilidade e</w:t>
      </w:r>
      <w:r w:rsidR="00C03D12">
        <w:rPr>
          <w:rFonts w:ascii="Times New Roman" w:hAnsi="Times New Roman" w:cs="Times New Roman"/>
          <w:sz w:val="24"/>
          <w:szCs w:val="24"/>
        </w:rPr>
        <w:t>sta</w:t>
      </w:r>
      <w:r w:rsidR="00721257">
        <w:rPr>
          <w:rFonts w:ascii="Times New Roman" w:hAnsi="Times New Roman" w:cs="Times New Roman"/>
          <w:sz w:val="24"/>
          <w:szCs w:val="24"/>
        </w:rPr>
        <w:t xml:space="preserve"> concepção não se diferencia</w:t>
      </w:r>
      <w:r w:rsidR="00C03D12">
        <w:rPr>
          <w:rFonts w:ascii="Times New Roman" w:hAnsi="Times New Roman" w:cs="Times New Roman"/>
          <w:sz w:val="24"/>
          <w:szCs w:val="24"/>
        </w:rPr>
        <w:t>,</w:t>
      </w:r>
      <w:r w:rsidR="00721257">
        <w:rPr>
          <w:rFonts w:ascii="Times New Roman" w:hAnsi="Times New Roman" w:cs="Times New Roman"/>
          <w:sz w:val="24"/>
          <w:szCs w:val="24"/>
        </w:rPr>
        <w:t xml:space="preserve"> pois os alunos </w:t>
      </w:r>
      <w:r w:rsidR="00CA1F55">
        <w:rPr>
          <w:rFonts w:ascii="Times New Roman" w:hAnsi="Times New Roman" w:cs="Times New Roman"/>
          <w:sz w:val="24"/>
          <w:szCs w:val="24"/>
        </w:rPr>
        <w:t>buscam</w:t>
      </w:r>
      <w:r w:rsidR="00721257">
        <w:rPr>
          <w:rFonts w:ascii="Times New Roman" w:hAnsi="Times New Roman" w:cs="Times New Roman"/>
          <w:sz w:val="24"/>
          <w:szCs w:val="24"/>
        </w:rPr>
        <w:t xml:space="preserve"> junto aos professores, em seus componentes curriculares, </w:t>
      </w:r>
      <w:r w:rsidR="0013151D">
        <w:rPr>
          <w:rFonts w:ascii="Times New Roman" w:hAnsi="Times New Roman" w:cs="Times New Roman"/>
          <w:sz w:val="24"/>
          <w:szCs w:val="24"/>
        </w:rPr>
        <w:t>indicações</w:t>
      </w:r>
      <w:r w:rsidR="00721257">
        <w:rPr>
          <w:rFonts w:ascii="Times New Roman" w:hAnsi="Times New Roman" w:cs="Times New Roman"/>
          <w:sz w:val="24"/>
          <w:szCs w:val="24"/>
        </w:rPr>
        <w:t xml:space="preserve"> de </w:t>
      </w:r>
      <w:r w:rsidR="0013151D">
        <w:rPr>
          <w:rFonts w:ascii="Times New Roman" w:hAnsi="Times New Roman" w:cs="Times New Roman"/>
          <w:sz w:val="24"/>
          <w:szCs w:val="24"/>
        </w:rPr>
        <w:t xml:space="preserve">livros alternativos aos diversos assuntos, de forma a </w:t>
      </w:r>
      <w:r w:rsidR="007163CA">
        <w:rPr>
          <w:rFonts w:ascii="Times New Roman" w:hAnsi="Times New Roman" w:cs="Times New Roman"/>
          <w:sz w:val="24"/>
          <w:szCs w:val="24"/>
        </w:rPr>
        <w:t>incentivar</w:t>
      </w:r>
      <w:r w:rsidR="0013151D">
        <w:rPr>
          <w:rFonts w:ascii="Times New Roman" w:hAnsi="Times New Roman" w:cs="Times New Roman"/>
          <w:sz w:val="24"/>
          <w:szCs w:val="24"/>
        </w:rPr>
        <w:t xml:space="preserve"> a leitura dos textos </w:t>
      </w:r>
      <w:r w:rsidR="007163CA">
        <w:rPr>
          <w:rFonts w:ascii="Times New Roman" w:hAnsi="Times New Roman" w:cs="Times New Roman"/>
          <w:sz w:val="24"/>
          <w:szCs w:val="24"/>
        </w:rPr>
        <w:t>disponibilizados</w:t>
      </w:r>
      <w:r w:rsidR="0013151D">
        <w:rPr>
          <w:rFonts w:ascii="Times New Roman" w:hAnsi="Times New Roman" w:cs="Times New Roman"/>
          <w:sz w:val="24"/>
          <w:szCs w:val="24"/>
        </w:rPr>
        <w:t xml:space="preserve"> em sala de aula, </w:t>
      </w:r>
      <w:r w:rsidR="007163CA">
        <w:rPr>
          <w:rFonts w:ascii="Times New Roman" w:hAnsi="Times New Roman" w:cs="Times New Roman"/>
          <w:sz w:val="24"/>
          <w:szCs w:val="24"/>
        </w:rPr>
        <w:t>estimulando</w:t>
      </w:r>
      <w:r w:rsidR="00C03D12">
        <w:rPr>
          <w:rFonts w:ascii="Times New Roman" w:hAnsi="Times New Roman" w:cs="Times New Roman"/>
          <w:sz w:val="24"/>
          <w:szCs w:val="24"/>
        </w:rPr>
        <w:t xml:space="preserve"> assim</w:t>
      </w:r>
      <w:r w:rsidR="007163CA">
        <w:rPr>
          <w:rFonts w:ascii="Times New Roman" w:hAnsi="Times New Roman" w:cs="Times New Roman"/>
          <w:sz w:val="24"/>
          <w:szCs w:val="24"/>
        </w:rPr>
        <w:t xml:space="preserve"> os alunos a desenvolverem uma visão crítica desses conteúdos, acontecimento este que permite a qualificação dos </w:t>
      </w:r>
      <w:r w:rsidR="00C03D12">
        <w:rPr>
          <w:rFonts w:ascii="Times New Roman" w:hAnsi="Times New Roman" w:cs="Times New Roman"/>
          <w:sz w:val="24"/>
          <w:szCs w:val="24"/>
        </w:rPr>
        <w:t>discentes</w:t>
      </w:r>
      <w:r w:rsidR="007163CA">
        <w:rPr>
          <w:rFonts w:ascii="Times New Roman" w:hAnsi="Times New Roman" w:cs="Times New Roman"/>
          <w:sz w:val="24"/>
          <w:szCs w:val="24"/>
        </w:rPr>
        <w:t xml:space="preserve">, </w:t>
      </w:r>
      <w:r w:rsidR="00C03D12">
        <w:rPr>
          <w:rFonts w:ascii="Times New Roman" w:hAnsi="Times New Roman" w:cs="Times New Roman"/>
          <w:sz w:val="24"/>
          <w:szCs w:val="24"/>
        </w:rPr>
        <w:t>transformando-os de me</w:t>
      </w:r>
      <w:r w:rsidR="007163CA">
        <w:rPr>
          <w:rFonts w:ascii="Times New Roman" w:hAnsi="Times New Roman" w:cs="Times New Roman"/>
          <w:sz w:val="24"/>
          <w:szCs w:val="24"/>
        </w:rPr>
        <w:t xml:space="preserve">ros observadores </w:t>
      </w:r>
      <w:r w:rsidR="00C03D12">
        <w:rPr>
          <w:rFonts w:ascii="Times New Roman" w:hAnsi="Times New Roman" w:cs="Times New Roman"/>
          <w:sz w:val="24"/>
          <w:szCs w:val="24"/>
        </w:rPr>
        <w:t>à</w:t>
      </w:r>
      <w:r w:rsidR="007163CA">
        <w:rPr>
          <w:rFonts w:ascii="Times New Roman" w:hAnsi="Times New Roman" w:cs="Times New Roman"/>
          <w:sz w:val="24"/>
          <w:szCs w:val="24"/>
        </w:rPr>
        <w:t xml:space="preserve"> indivíduos ativos na arte do conhecimento.</w:t>
      </w:r>
    </w:p>
    <w:p w:rsidR="00031DDE" w:rsidRDefault="00031DDE" w:rsidP="00031D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Laffin (20</w:t>
      </w:r>
      <w:r w:rsidR="00EA02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2):</w:t>
      </w:r>
    </w:p>
    <w:p w:rsidR="00031DDE" w:rsidRPr="00901BFB" w:rsidRDefault="00031DDE" w:rsidP="00915C04">
      <w:pPr>
        <w:pStyle w:val="Recuodecorpodetexto"/>
        <w:spacing w:before="120" w:after="120"/>
        <w:ind w:left="2268" w:firstLine="0"/>
        <w:rPr>
          <w:rFonts w:ascii="Times New Roman" w:hAnsi="Times New Roman"/>
          <w:sz w:val="22"/>
          <w:szCs w:val="24"/>
        </w:rPr>
      </w:pPr>
      <w:r w:rsidRPr="00901BFB"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>o trabalho do professor de contabilidade deve revestir-se da apropriação de conhecimentos que promovam diferentes aprendizagens e o desenvolvimento dos alunos, pois seu trabalho é marcado por possibilidades e dilemas, o que exigem um constante processo de aprender e que também é marcado por sua subjetividade</w:t>
      </w:r>
      <w:r w:rsidRPr="00901BFB">
        <w:rPr>
          <w:rFonts w:ascii="Times New Roman" w:hAnsi="Times New Roman"/>
          <w:sz w:val="22"/>
          <w:szCs w:val="24"/>
        </w:rPr>
        <w:t>".</w:t>
      </w:r>
    </w:p>
    <w:p w:rsidR="002F0FAB" w:rsidRDefault="00031DDE" w:rsidP="00915C04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2D4">
        <w:rPr>
          <w:rFonts w:ascii="Times New Roman" w:hAnsi="Times New Roman" w:cs="Times New Roman"/>
          <w:sz w:val="24"/>
          <w:szCs w:val="24"/>
        </w:rPr>
        <w:t xml:space="preserve">Nesse sentido, os educadores </w:t>
      </w:r>
      <w:r w:rsidR="00D33C36" w:rsidRPr="003D52D4">
        <w:rPr>
          <w:rFonts w:ascii="Times New Roman" w:hAnsi="Times New Roman" w:cs="Times New Roman"/>
          <w:sz w:val="24"/>
          <w:szCs w:val="24"/>
        </w:rPr>
        <w:t xml:space="preserve">por natureza </w:t>
      </w:r>
      <w:r w:rsidRPr="003D52D4">
        <w:rPr>
          <w:rFonts w:ascii="Times New Roman" w:hAnsi="Times New Roman" w:cs="Times New Roman"/>
          <w:sz w:val="24"/>
          <w:szCs w:val="24"/>
        </w:rPr>
        <w:t xml:space="preserve">se tornam </w:t>
      </w:r>
      <w:r w:rsidR="00D33C36" w:rsidRPr="003D52D4">
        <w:rPr>
          <w:rFonts w:ascii="Times New Roman" w:hAnsi="Times New Roman" w:cs="Times New Roman"/>
          <w:sz w:val="24"/>
          <w:szCs w:val="24"/>
        </w:rPr>
        <w:t>abert</w:t>
      </w:r>
      <w:r w:rsidRPr="003D52D4">
        <w:rPr>
          <w:rFonts w:ascii="Times New Roman" w:hAnsi="Times New Roman" w:cs="Times New Roman"/>
          <w:sz w:val="24"/>
          <w:szCs w:val="24"/>
        </w:rPr>
        <w:t>os</w:t>
      </w:r>
      <w:r w:rsidR="00D33C36" w:rsidRPr="003D52D4">
        <w:rPr>
          <w:rFonts w:ascii="Times New Roman" w:hAnsi="Times New Roman" w:cs="Times New Roman"/>
          <w:sz w:val="24"/>
          <w:szCs w:val="24"/>
        </w:rPr>
        <w:t xml:space="preserve"> e colaborativ</w:t>
      </w:r>
      <w:r w:rsidRPr="003D52D4">
        <w:rPr>
          <w:rFonts w:ascii="Times New Roman" w:hAnsi="Times New Roman" w:cs="Times New Roman"/>
          <w:sz w:val="24"/>
          <w:szCs w:val="24"/>
        </w:rPr>
        <w:t>os</w:t>
      </w:r>
      <w:r w:rsidR="00D33C36" w:rsidRPr="003D52D4">
        <w:rPr>
          <w:rFonts w:ascii="Times New Roman" w:hAnsi="Times New Roman" w:cs="Times New Roman"/>
          <w:sz w:val="24"/>
          <w:szCs w:val="24"/>
        </w:rPr>
        <w:t>, faz</w:t>
      </w:r>
      <w:r w:rsidR="00FB56A4">
        <w:rPr>
          <w:rFonts w:ascii="Times New Roman" w:hAnsi="Times New Roman" w:cs="Times New Roman"/>
          <w:sz w:val="24"/>
          <w:szCs w:val="24"/>
        </w:rPr>
        <w:t>em</w:t>
      </w:r>
      <w:r w:rsidR="00D33C36" w:rsidRPr="003D52D4">
        <w:rPr>
          <w:rFonts w:ascii="Times New Roman" w:hAnsi="Times New Roman" w:cs="Times New Roman"/>
          <w:sz w:val="24"/>
          <w:szCs w:val="24"/>
        </w:rPr>
        <w:t>-se mediador</w:t>
      </w:r>
      <w:r w:rsidR="00FB56A4">
        <w:rPr>
          <w:rFonts w:ascii="Times New Roman" w:hAnsi="Times New Roman" w:cs="Times New Roman"/>
          <w:sz w:val="24"/>
          <w:szCs w:val="24"/>
        </w:rPr>
        <w:t>es</w:t>
      </w:r>
      <w:r w:rsidR="00D33C36" w:rsidRPr="003D52D4">
        <w:rPr>
          <w:rFonts w:ascii="Times New Roman" w:hAnsi="Times New Roman" w:cs="Times New Roman"/>
          <w:sz w:val="24"/>
          <w:szCs w:val="24"/>
        </w:rPr>
        <w:t xml:space="preserve"> do processo</w:t>
      </w:r>
      <w:r w:rsidR="0046079B" w:rsidRPr="003D52D4">
        <w:rPr>
          <w:rFonts w:ascii="Times New Roman" w:hAnsi="Times New Roman" w:cs="Times New Roman"/>
          <w:sz w:val="24"/>
          <w:szCs w:val="24"/>
        </w:rPr>
        <w:t xml:space="preserve"> educativo</w:t>
      </w:r>
      <w:r w:rsidR="00D33C36" w:rsidRPr="003D52D4">
        <w:rPr>
          <w:rFonts w:ascii="Times New Roman" w:hAnsi="Times New Roman" w:cs="Times New Roman"/>
          <w:sz w:val="24"/>
          <w:szCs w:val="24"/>
        </w:rPr>
        <w:t>, tornando-o</w:t>
      </w:r>
      <w:r w:rsidR="00FB56A4">
        <w:rPr>
          <w:rFonts w:ascii="Times New Roman" w:hAnsi="Times New Roman" w:cs="Times New Roman"/>
          <w:sz w:val="24"/>
          <w:szCs w:val="24"/>
        </w:rPr>
        <w:t>s</w:t>
      </w:r>
      <w:r w:rsidR="00D33C36" w:rsidRPr="003D52D4">
        <w:rPr>
          <w:rFonts w:ascii="Times New Roman" w:hAnsi="Times New Roman" w:cs="Times New Roman"/>
          <w:sz w:val="24"/>
          <w:szCs w:val="24"/>
        </w:rPr>
        <w:t xml:space="preserve"> assim, mais rápido e interdisciplinar</w:t>
      </w:r>
      <w:r w:rsidRPr="003D52D4">
        <w:rPr>
          <w:rFonts w:ascii="Times New Roman" w:hAnsi="Times New Roman" w:cs="Times New Roman"/>
          <w:sz w:val="24"/>
          <w:szCs w:val="24"/>
        </w:rPr>
        <w:t xml:space="preserve"> o pro</w:t>
      </w:r>
      <w:r w:rsidR="00B47407" w:rsidRPr="003D52D4">
        <w:rPr>
          <w:rFonts w:ascii="Times New Roman" w:hAnsi="Times New Roman" w:cs="Times New Roman"/>
          <w:sz w:val="24"/>
          <w:szCs w:val="24"/>
        </w:rPr>
        <w:t>pósito educaciona</w:t>
      </w:r>
      <w:r w:rsidR="009605FB" w:rsidRPr="003D52D4">
        <w:rPr>
          <w:rFonts w:ascii="Times New Roman" w:hAnsi="Times New Roman" w:cs="Times New Roman"/>
          <w:sz w:val="24"/>
          <w:szCs w:val="24"/>
        </w:rPr>
        <w:t>l</w:t>
      </w:r>
      <w:r w:rsidR="00B47407" w:rsidRPr="003D52D4">
        <w:rPr>
          <w:rFonts w:ascii="Times New Roman" w:hAnsi="Times New Roman" w:cs="Times New Roman"/>
          <w:sz w:val="24"/>
          <w:szCs w:val="24"/>
        </w:rPr>
        <w:t>, transportando o desenvolvimento de conceitos para o plano sócio-educativo.</w:t>
      </w:r>
    </w:p>
    <w:p w:rsidR="003D52D4" w:rsidRPr="00E92E3E" w:rsidRDefault="004E4D43" w:rsidP="003D52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3.2</w:t>
      </w:r>
      <w:r w:rsidR="003D52D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9B17E2">
        <w:rPr>
          <w:rFonts w:ascii="Times New Roman" w:hAnsi="Times New Roman" w:cs="Times New Roman"/>
          <w:b/>
          <w:caps/>
          <w:sz w:val="24"/>
          <w:szCs w:val="24"/>
        </w:rPr>
        <w:t xml:space="preserve">A FUNÇÃO </w:t>
      </w:r>
      <w:r w:rsidR="007B43F2">
        <w:rPr>
          <w:rFonts w:ascii="Times New Roman" w:hAnsi="Times New Roman" w:cs="Times New Roman"/>
          <w:b/>
          <w:caps/>
          <w:sz w:val="24"/>
          <w:szCs w:val="24"/>
        </w:rPr>
        <w:t>DA MONITORIA</w:t>
      </w:r>
    </w:p>
    <w:p w:rsidR="00910AFB" w:rsidRDefault="00910AFB" w:rsidP="003D5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monitoria prevista em legislação, através da Lei nº 9.394, de 20 de dezembro de 1996, a qual Estabelece as Diretrizes e Bases da Educação Nacional.</w:t>
      </w:r>
    </w:p>
    <w:p w:rsidR="00910AFB" w:rsidRPr="00901BFB" w:rsidRDefault="00910AFB" w:rsidP="00910AFB">
      <w:pPr>
        <w:pStyle w:val="Recuodecorpodetexto"/>
        <w:ind w:left="2268" w:firstLine="0"/>
        <w:rPr>
          <w:rFonts w:ascii="Times New Roman" w:hAnsi="Times New Roman"/>
          <w:sz w:val="22"/>
          <w:szCs w:val="24"/>
        </w:rPr>
      </w:pPr>
      <w:r w:rsidRPr="00901BFB">
        <w:rPr>
          <w:rFonts w:ascii="Times New Roman" w:hAnsi="Times New Roman"/>
          <w:sz w:val="22"/>
          <w:szCs w:val="24"/>
        </w:rPr>
        <w:t>"</w:t>
      </w:r>
      <w:r>
        <w:rPr>
          <w:rFonts w:ascii="Times New Roman" w:hAnsi="Times New Roman"/>
          <w:sz w:val="22"/>
          <w:szCs w:val="24"/>
        </w:rPr>
        <w:t xml:space="preserve">Art. 84: Os discentes da educação superior poderão ser aproveitados em tarefas de ensino e pesquisa pelas respectivas instituições, exercendo funções de monitoria, de acordo </w:t>
      </w:r>
      <w:r w:rsidR="00853359">
        <w:rPr>
          <w:rFonts w:ascii="Times New Roman" w:hAnsi="Times New Roman"/>
          <w:sz w:val="22"/>
          <w:szCs w:val="24"/>
        </w:rPr>
        <w:t>com seu rendimento e seu plano de estudos</w:t>
      </w:r>
      <w:r w:rsidRPr="00901BFB">
        <w:rPr>
          <w:rFonts w:ascii="Times New Roman" w:hAnsi="Times New Roman"/>
          <w:sz w:val="22"/>
          <w:szCs w:val="24"/>
        </w:rPr>
        <w:t>"</w:t>
      </w:r>
      <w:r w:rsidR="00853359">
        <w:rPr>
          <w:rFonts w:ascii="Times New Roman" w:hAnsi="Times New Roman"/>
          <w:sz w:val="22"/>
          <w:szCs w:val="24"/>
        </w:rPr>
        <w:t xml:space="preserve"> (BRASIL 1996)</w:t>
      </w:r>
      <w:r w:rsidRPr="00901BFB">
        <w:rPr>
          <w:rFonts w:ascii="Times New Roman" w:hAnsi="Times New Roman"/>
          <w:sz w:val="22"/>
          <w:szCs w:val="24"/>
        </w:rPr>
        <w:t>.</w:t>
      </w:r>
    </w:p>
    <w:p w:rsidR="00F05933" w:rsidRDefault="00CA1F55" w:rsidP="00F0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Neste contexto, cabe ao mestre, bem como as IES, a incumbência de elaborar estratégias de ação para condução do processo educativo.</w:t>
      </w:r>
    </w:p>
    <w:p w:rsidR="00F05933" w:rsidRDefault="00F05933" w:rsidP="00F059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dificuldade de aprendizagem pode levar alunos ao fracasso, causando afli</w:t>
      </w:r>
      <w:r w:rsidR="00804D99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 aos professores. 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>Assim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,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o primeiro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grande 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>desafio do prof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essor é “alfabetizar” os alunos, 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decifrar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o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s 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conteúdos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para </w:t>
      </w:r>
      <w:r w:rsidR="00804D9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uma 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>linguagem mais compreensiva, mantendo</w:t>
      </w:r>
      <w:r w:rsidR="00804D9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-se, todavia, 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>o rigor conceitual e</w:t>
      </w:r>
      <w:r w:rsidR="00804D99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o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padrão</w:t>
      </w:r>
      <w:r w:rsidR="00804D99">
        <w:rPr>
          <w:rFonts w:ascii="Times New Roman" w:eastAsiaTheme="minorHAnsi" w:hAnsi="Times New Roman" w:cs="Times New Roman"/>
          <w:sz w:val="23"/>
          <w:szCs w:val="23"/>
          <w:lang w:eastAsia="en-US"/>
        </w:rPr>
        <w:t>.N</w:t>
      </w:r>
      <w:r w:rsidRPr="007B43F2">
        <w:rPr>
          <w:rFonts w:ascii="Times New Roman" w:eastAsiaTheme="minorHAnsi" w:hAnsi="Times New Roman" w:cs="Times New Roman"/>
          <w:sz w:val="23"/>
          <w:szCs w:val="23"/>
          <w:lang w:eastAsia="en-US"/>
        </w:rPr>
        <w:t>este sentido o trabalho do monitor se torna de extrema relevância</w:t>
      </w:r>
      <w:r>
        <w:rPr>
          <w:rFonts w:ascii="Times New Roman" w:eastAsiaTheme="minorHAnsi" w:hAnsi="Times New Roman" w:cs="Times New Roman"/>
          <w:sz w:val="23"/>
          <w:szCs w:val="23"/>
          <w:lang w:eastAsia="en-US"/>
        </w:rPr>
        <w:t>.</w:t>
      </w:r>
    </w:p>
    <w:p w:rsidR="00910AFB" w:rsidRDefault="00910AFB" w:rsidP="003D52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7A7" w:rsidRDefault="009627A7" w:rsidP="0096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ANÁLISE E DISCURSSÃO DOS RESULTADOS</w:t>
      </w:r>
    </w:p>
    <w:p w:rsidR="009627A7" w:rsidRDefault="009627A7" w:rsidP="0096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3CC" w:rsidRDefault="00FB56A4" w:rsidP="00CA3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Por fim, importante frisar o quão valioso foi o trabalho, </w:t>
      </w:r>
      <w:r w:rsidR="00BB4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tanto no que concerne à 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articipação do alunado </w:t>
      </w:r>
      <w:r w:rsidR="00BB4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quanto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 sê-lo propositor de produção acadêmica, imprescindíveis à elevação do conhecimento.</w:t>
      </w:r>
      <w:r w:rsidR="00BB4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Outro dado digno de registro conforma a evolução </w:t>
      </w:r>
      <w:r w:rsidR="00CA3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="00BB4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 índices de aprovados na referida disciplina, como se constata nos dois gráficos abaixo. Vê-se que percentual de alunos matriculados segue uma linha tendencial positiva, na mesma proporção que o índice de aprovados</w:t>
      </w:r>
      <w:r w:rsidR="00CA3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o que remete ao entendimento de que a metodologia utilizada por ocasião das exposições teóricas e práticas estão sendo satisfatórias, incluindo-se neste bojo a prática da monitoria.</w:t>
      </w:r>
    </w:p>
    <w:p w:rsidR="00FB56A4" w:rsidRPr="00915C04" w:rsidRDefault="00915C04" w:rsidP="00DE4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915C04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GRÁFICO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I - </w:t>
      </w:r>
      <w:r w:rsidRPr="00915C04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EVOLUÇÃO APROVADOS</w:t>
      </w:r>
      <w:r w:rsidR="00CA366E">
        <w:rPr>
          <w:noProof/>
        </w:rPr>
        <w:drawing>
          <wp:inline distT="0" distB="0" distL="0" distR="0">
            <wp:extent cx="5524500" cy="1704975"/>
            <wp:effectExtent l="171450" t="152400" r="171450" b="142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GRÁFICO II – PERCENTUAL APROVADOS 2010.1 – </w:t>
      </w:r>
      <w:r w:rsidR="00F52CD4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012.1</w:t>
      </w:r>
      <w:r w:rsidR="00C56630">
        <w:rPr>
          <w:noProof/>
        </w:rPr>
        <w:drawing>
          <wp:inline distT="0" distB="0" distL="0" distR="0">
            <wp:extent cx="5467350" cy="1600200"/>
            <wp:effectExtent l="228600" t="228600" r="209550" b="2095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5C04" w:rsidRPr="00DE442C" w:rsidRDefault="00915C04" w:rsidP="00DE44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42C">
        <w:rPr>
          <w:rFonts w:ascii="Times New Roman" w:hAnsi="Times New Roman"/>
          <w:sz w:val="24"/>
          <w:szCs w:val="24"/>
        </w:rPr>
        <w:lastRenderedPageBreak/>
        <w:t>No gráfico II vê-se claramente a melhoria na efetivação da disciplina, principalmente naquilo que diz respeito à sua eficiência e índice de aproveitamento.</w:t>
      </w:r>
      <w:r w:rsidR="00C56630" w:rsidRPr="00DE442C">
        <w:rPr>
          <w:rFonts w:ascii="Times New Roman" w:hAnsi="Times New Roman"/>
          <w:sz w:val="24"/>
          <w:szCs w:val="24"/>
        </w:rPr>
        <w:t xml:space="preserve"> Neste ínterim, tem-se que em 2010.1 o índice de aprovados corresponde</w:t>
      </w:r>
      <w:r w:rsidR="00DE442C" w:rsidRPr="00DE442C">
        <w:rPr>
          <w:rFonts w:ascii="Times New Roman" w:hAnsi="Times New Roman"/>
          <w:sz w:val="24"/>
          <w:szCs w:val="24"/>
        </w:rPr>
        <w:t>u</w:t>
      </w:r>
      <w:r w:rsidR="00C56630" w:rsidRPr="00DE442C">
        <w:rPr>
          <w:rFonts w:ascii="Times New Roman" w:hAnsi="Times New Roman"/>
          <w:sz w:val="24"/>
          <w:szCs w:val="24"/>
        </w:rPr>
        <w:t xml:space="preserve"> a 16%</w:t>
      </w:r>
      <w:r w:rsidR="00DE442C" w:rsidRPr="00DE442C">
        <w:rPr>
          <w:rFonts w:ascii="Times New Roman" w:hAnsi="Times New Roman"/>
          <w:sz w:val="24"/>
          <w:szCs w:val="24"/>
        </w:rPr>
        <w:t>, já no outro extremo em 2012.1 este índice foi elevado à 93,33%, considerando-se a mesma proporção de alunos matriculados</w:t>
      </w:r>
      <w:r w:rsidR="00FF6C69">
        <w:rPr>
          <w:rFonts w:ascii="Times New Roman" w:hAnsi="Times New Roman"/>
          <w:sz w:val="24"/>
          <w:szCs w:val="24"/>
        </w:rPr>
        <w:t xml:space="preserve"> e que todos participaram da monitoria</w:t>
      </w:r>
      <w:r w:rsidR="00DE442C" w:rsidRPr="00DE442C">
        <w:rPr>
          <w:rFonts w:ascii="Times New Roman" w:hAnsi="Times New Roman"/>
          <w:sz w:val="24"/>
          <w:szCs w:val="24"/>
        </w:rPr>
        <w:t>.</w:t>
      </w:r>
      <w:r w:rsidRPr="00DE442C">
        <w:rPr>
          <w:rFonts w:ascii="Times New Roman" w:hAnsi="Times New Roman"/>
          <w:sz w:val="24"/>
          <w:szCs w:val="24"/>
        </w:rPr>
        <w:t xml:space="preserve"> S</w:t>
      </w:r>
      <w:r w:rsidR="00C56630" w:rsidRPr="00DE442C">
        <w:rPr>
          <w:rFonts w:ascii="Times New Roman" w:hAnsi="Times New Roman"/>
          <w:sz w:val="24"/>
          <w:szCs w:val="24"/>
        </w:rPr>
        <w:t xml:space="preserve">e somarmos a esta consideração </w:t>
      </w:r>
      <w:r w:rsidRPr="00DE442C">
        <w:rPr>
          <w:rFonts w:ascii="Times New Roman" w:hAnsi="Times New Roman"/>
          <w:sz w:val="24"/>
          <w:szCs w:val="24"/>
        </w:rPr>
        <w:t xml:space="preserve">o fato de que o programa de monitoria </w:t>
      </w:r>
      <w:r w:rsidR="00C56630" w:rsidRPr="00DE442C">
        <w:rPr>
          <w:rFonts w:ascii="Times New Roman" w:hAnsi="Times New Roman"/>
          <w:sz w:val="24"/>
          <w:szCs w:val="24"/>
        </w:rPr>
        <w:t xml:space="preserve">consolidou-se no período acima, pode-se erigir </w:t>
      </w:r>
      <w:r w:rsidR="00DE442C" w:rsidRPr="00DE442C">
        <w:rPr>
          <w:rFonts w:ascii="Times New Roman" w:hAnsi="Times New Roman"/>
          <w:sz w:val="24"/>
          <w:szCs w:val="24"/>
        </w:rPr>
        <w:t>a hipótese de que tal programa</w:t>
      </w:r>
      <w:r w:rsidR="00C56630" w:rsidRPr="00DE442C">
        <w:rPr>
          <w:rFonts w:ascii="Times New Roman" w:hAnsi="Times New Roman"/>
          <w:sz w:val="24"/>
          <w:szCs w:val="24"/>
        </w:rPr>
        <w:t>,</w:t>
      </w:r>
      <w:r w:rsidR="00DE442C" w:rsidRPr="00DE442C">
        <w:rPr>
          <w:rFonts w:ascii="Times New Roman" w:hAnsi="Times New Roman"/>
          <w:sz w:val="24"/>
          <w:szCs w:val="24"/>
        </w:rPr>
        <w:t xml:space="preserve"> em alguma medida</w:t>
      </w:r>
      <w:r w:rsidR="00C56630" w:rsidRPr="00DE442C">
        <w:rPr>
          <w:rFonts w:ascii="Times New Roman" w:hAnsi="Times New Roman"/>
          <w:sz w:val="24"/>
          <w:szCs w:val="24"/>
        </w:rPr>
        <w:t xml:space="preserve"> contribuiu para o referido progresso.  </w:t>
      </w:r>
    </w:p>
    <w:p w:rsidR="00C56630" w:rsidRDefault="00C56630" w:rsidP="0096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27A7" w:rsidRDefault="009627A7" w:rsidP="00962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CONSIDERAÇÕES FINAIS </w:t>
      </w:r>
    </w:p>
    <w:p w:rsidR="009627A7" w:rsidRDefault="009627A7" w:rsidP="009605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B56A4" w:rsidRDefault="00FB56A4" w:rsidP="00FB56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experiência de monitoria aqui</w:t>
      </w:r>
      <w:r w:rsidRPr="00292105">
        <w:rPr>
          <w:rFonts w:ascii="Times New Roman" w:hAnsi="Times New Roman"/>
          <w:sz w:val="24"/>
          <w:szCs w:val="24"/>
        </w:rPr>
        <w:t xml:space="preserve"> apresentada demonstra de modo determinado a importância </w:t>
      </w:r>
      <w:r>
        <w:rPr>
          <w:rFonts w:ascii="Times New Roman" w:hAnsi="Times New Roman"/>
          <w:sz w:val="24"/>
          <w:szCs w:val="24"/>
        </w:rPr>
        <w:t>do monitor no processo ensino/aprendizagem</w:t>
      </w:r>
      <w:r w:rsidRPr="00292105">
        <w:rPr>
          <w:rFonts w:ascii="Times New Roman" w:hAnsi="Times New Roman"/>
          <w:sz w:val="24"/>
          <w:szCs w:val="24"/>
        </w:rPr>
        <w:t xml:space="preserve">. Ademais, vale </w:t>
      </w:r>
      <w:r>
        <w:rPr>
          <w:rFonts w:ascii="Times New Roman" w:hAnsi="Times New Roman"/>
          <w:sz w:val="24"/>
          <w:szCs w:val="24"/>
        </w:rPr>
        <w:t xml:space="preserve">destacar o quão preciso </w:t>
      </w:r>
      <w:r w:rsidR="00804D99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 conhecimento da disciplina a ser ministrada, </w:t>
      </w:r>
      <w:r w:rsidRPr="00292105">
        <w:rPr>
          <w:rFonts w:ascii="Times New Roman" w:hAnsi="Times New Roman"/>
          <w:sz w:val="24"/>
          <w:szCs w:val="24"/>
        </w:rPr>
        <w:t>ante as dificuldades de entendimento e compreensão dos conteúdos programáticos ministrados em sala de aula, contribuindo sobremaneira, para elucidar dúvidas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2105">
        <w:rPr>
          <w:rFonts w:ascii="Times New Roman" w:hAnsi="Times New Roman"/>
          <w:sz w:val="24"/>
          <w:szCs w:val="24"/>
        </w:rPr>
        <w:t xml:space="preserve">No entanto, a preparação do educando para o exercício futuro da profissão de docente exige conhecimentos e métodos inovadores que faça a interação e a mediação social entre alunos e professores, em outras palavras, </w:t>
      </w:r>
      <w:r>
        <w:rPr>
          <w:rFonts w:ascii="Times New Roman" w:hAnsi="Times New Roman"/>
          <w:sz w:val="24"/>
          <w:szCs w:val="24"/>
        </w:rPr>
        <w:t xml:space="preserve">quando </w:t>
      </w:r>
      <w:r w:rsidR="003D7945">
        <w:rPr>
          <w:rFonts w:ascii="Times New Roman" w:hAnsi="Times New Roman"/>
          <w:sz w:val="24"/>
          <w:szCs w:val="24"/>
        </w:rPr>
        <w:t xml:space="preserve">existe a </w:t>
      </w:r>
      <w:r>
        <w:rPr>
          <w:rFonts w:ascii="Times New Roman" w:hAnsi="Times New Roman"/>
          <w:sz w:val="24"/>
          <w:szCs w:val="24"/>
        </w:rPr>
        <w:t xml:space="preserve">junção de teoria e prática, </w:t>
      </w:r>
      <w:r w:rsidR="003D7945">
        <w:rPr>
          <w:rFonts w:ascii="Times New Roman" w:hAnsi="Times New Roman"/>
          <w:sz w:val="24"/>
          <w:szCs w:val="24"/>
        </w:rPr>
        <w:t>torna-se</w:t>
      </w:r>
      <w:r>
        <w:rPr>
          <w:rFonts w:ascii="Times New Roman" w:hAnsi="Times New Roman"/>
          <w:sz w:val="24"/>
          <w:szCs w:val="24"/>
        </w:rPr>
        <w:t xml:space="preserve"> evidente </w:t>
      </w:r>
      <w:r w:rsidRPr="00292105">
        <w:rPr>
          <w:rFonts w:ascii="Times New Roman" w:hAnsi="Times New Roman"/>
          <w:sz w:val="24"/>
          <w:szCs w:val="24"/>
        </w:rPr>
        <w:t>o desenvolvimento pedagógico</w:t>
      </w:r>
      <w:r w:rsidR="003D7945">
        <w:rPr>
          <w:rFonts w:ascii="Times New Roman" w:hAnsi="Times New Roman"/>
          <w:sz w:val="24"/>
          <w:szCs w:val="24"/>
        </w:rPr>
        <w:t xml:space="preserve"> e o aprendizado </w:t>
      </w:r>
      <w:r w:rsidR="00804D99">
        <w:rPr>
          <w:rFonts w:ascii="Times New Roman" w:hAnsi="Times New Roman"/>
          <w:sz w:val="24"/>
          <w:szCs w:val="24"/>
        </w:rPr>
        <w:t>contribuindo</w:t>
      </w:r>
      <w:r w:rsidR="003D7945">
        <w:rPr>
          <w:rFonts w:ascii="Times New Roman" w:hAnsi="Times New Roman"/>
          <w:sz w:val="24"/>
          <w:szCs w:val="24"/>
        </w:rPr>
        <w:t xml:space="preserve"> positivamente </w:t>
      </w:r>
      <w:r w:rsidR="00804D99">
        <w:rPr>
          <w:rFonts w:ascii="Times New Roman" w:hAnsi="Times New Roman"/>
          <w:sz w:val="24"/>
          <w:szCs w:val="24"/>
        </w:rPr>
        <w:t xml:space="preserve">para </w:t>
      </w:r>
      <w:r w:rsidR="003D7945">
        <w:rPr>
          <w:rFonts w:ascii="Times New Roman" w:hAnsi="Times New Roman"/>
          <w:sz w:val="24"/>
          <w:szCs w:val="24"/>
        </w:rPr>
        <w:t>o desempenho escolar.</w:t>
      </w:r>
    </w:p>
    <w:p w:rsidR="009627A7" w:rsidRDefault="009627A7" w:rsidP="00962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Por fim, importante frisar o quão valioso foi o trabalho, à medida que se pôde contar com uma considerável participação do alunado e por sê-lo propositor de produção acadêmica, imprescindíveis à elevação do conhecimento.</w:t>
      </w:r>
    </w:p>
    <w:p w:rsidR="009627A7" w:rsidRDefault="009627A7" w:rsidP="009605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52A42" w:rsidRDefault="00B52A42" w:rsidP="009605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92595" w:rsidRDefault="002F0FAB" w:rsidP="002F0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 BIBLIOGRÁFICA</w:t>
      </w:r>
    </w:p>
    <w:p w:rsidR="00FF6C69" w:rsidRDefault="00FF6C69" w:rsidP="002F0F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359" w:rsidRPr="00853359" w:rsidRDefault="00853359" w:rsidP="00F52CD4">
      <w:pPr>
        <w:spacing w:after="0" w:line="360" w:lineRule="auto"/>
        <w:jc w:val="both"/>
        <w:rPr>
          <w:sz w:val="24"/>
          <w:szCs w:val="24"/>
        </w:rPr>
      </w:pPr>
      <w:r w:rsidRPr="00853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BRASIL. Ministério da Educação (MEC). </w:t>
      </w:r>
      <w:r w:rsidRPr="00853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Lei nº 9.394</w:t>
      </w:r>
      <w:r w:rsidRPr="00853359">
        <w:rPr>
          <w:rFonts w:ascii="Times New Roman" w:eastAsiaTheme="minorHAnsi" w:hAnsi="Times New Roman" w:cs="Times New Roman"/>
          <w:sz w:val="24"/>
          <w:szCs w:val="24"/>
          <w:lang w:eastAsia="en-US"/>
        </w:rPr>
        <w:t>, de 20 de dezembro de 1996. Estabelece as Diretrizes e Bases da Educação Nacional. Brasília, 20 dez. 1996. Disponível em: &lt;http://www.planalto.gov.br/ccivil_03/Leis/L9394.htm&gt;. Acesso em: 15 set.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5335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0FAB" w:rsidRDefault="002F0FAB" w:rsidP="00F52CD4">
      <w:pPr>
        <w:pStyle w:val="Corpodetexto"/>
        <w:spacing w:after="0" w:line="360" w:lineRule="auto"/>
        <w:jc w:val="both"/>
      </w:pPr>
      <w:r w:rsidRPr="00B47407">
        <w:t xml:space="preserve">CANDAU, V. M. F. A didática em questão e a formação de educadores-exaltação à negação: a busca da relevância. In: CANDAU, V. M. F. (org). </w:t>
      </w:r>
      <w:r w:rsidRPr="00B47407">
        <w:rPr>
          <w:b/>
          <w:iCs/>
        </w:rPr>
        <w:t>A didática em questão</w:t>
      </w:r>
      <w:r w:rsidRPr="00B47407">
        <w:rPr>
          <w:iCs/>
        </w:rPr>
        <w:t>.</w:t>
      </w:r>
      <w:r w:rsidRPr="00B47407">
        <w:t xml:space="preserve">Petrópolis: </w:t>
      </w:r>
      <w:r w:rsidR="00915C04">
        <w:t>V</w:t>
      </w:r>
      <w:r w:rsidRPr="00B47407">
        <w:t>ozes, 1986, p. 12-22.</w:t>
      </w:r>
    </w:p>
    <w:p w:rsidR="00853359" w:rsidRPr="00853359" w:rsidRDefault="00EA02DB" w:rsidP="00FF6C69">
      <w:pPr>
        <w:pStyle w:val="Corpodetexto"/>
        <w:spacing w:after="0" w:line="360" w:lineRule="auto"/>
        <w:jc w:val="both"/>
        <w:rPr>
          <w:rFonts w:eastAsiaTheme="minorHAnsi"/>
          <w:color w:val="000000"/>
          <w:lang w:eastAsia="en-US"/>
        </w:rPr>
      </w:pPr>
      <w:r w:rsidRPr="00EA02DB">
        <w:rPr>
          <w:rFonts w:eastAsiaTheme="minorHAnsi"/>
          <w:lang w:eastAsia="en-US"/>
        </w:rPr>
        <w:t xml:space="preserve">LAFFIN, Marcos. </w:t>
      </w:r>
      <w:r w:rsidRPr="00EA02DB">
        <w:rPr>
          <w:rFonts w:eastAsiaTheme="minorHAnsi"/>
          <w:b/>
          <w:bCs/>
          <w:lang w:eastAsia="en-US"/>
        </w:rPr>
        <w:t xml:space="preserve">Ensino de Contabilidade : Componentes e desafios. </w:t>
      </w:r>
      <w:r w:rsidRPr="00EA02DB">
        <w:rPr>
          <w:rFonts w:eastAsiaTheme="minorHAnsi"/>
          <w:lang w:eastAsia="en-US"/>
        </w:rPr>
        <w:t>Revista Vista &amp; Revista, Universidade Federal de Minas Gerais. Belo Horizonte, v.13, n.3, p. 9-20, dez.2002.</w:t>
      </w:r>
    </w:p>
    <w:sectPr w:rsidR="00853359" w:rsidRPr="00853359" w:rsidSect="0042245A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13" w:rsidRDefault="00626D13" w:rsidP="0042245A">
      <w:pPr>
        <w:spacing w:after="0" w:line="240" w:lineRule="auto"/>
      </w:pPr>
      <w:r>
        <w:separator/>
      </w:r>
    </w:p>
  </w:endnote>
  <w:endnote w:type="continuationSeparator" w:id="1">
    <w:p w:rsidR="00626D13" w:rsidRDefault="00626D13" w:rsidP="0042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13" w:rsidRDefault="00626D13" w:rsidP="0042245A">
      <w:pPr>
        <w:spacing w:after="0" w:line="240" w:lineRule="auto"/>
      </w:pPr>
      <w:r>
        <w:separator/>
      </w:r>
    </w:p>
  </w:footnote>
  <w:footnote w:type="continuationSeparator" w:id="1">
    <w:p w:rsidR="00626D13" w:rsidRDefault="00626D13" w:rsidP="0042245A">
      <w:pPr>
        <w:spacing w:after="0" w:line="240" w:lineRule="auto"/>
      </w:pPr>
      <w:r>
        <w:continuationSeparator/>
      </w:r>
    </w:p>
  </w:footnote>
  <w:footnote w:id="2">
    <w:p w:rsidR="007D565C" w:rsidRPr="00224F43" w:rsidRDefault="007D565C" w:rsidP="007D565C">
      <w:pPr>
        <w:pStyle w:val="Rodap"/>
        <w:ind w:right="140"/>
        <w:rPr>
          <w:rFonts w:ascii="Arial" w:hAnsi="Arial" w:cs="Arial"/>
          <w:sz w:val="18"/>
          <w:szCs w:val="18"/>
        </w:rPr>
      </w:pPr>
      <w:r>
        <w:rPr>
          <w:rStyle w:val="Refdenotaderodap"/>
        </w:rPr>
        <w:footnoteRef/>
      </w:r>
      <w:r w:rsidRPr="0043470A">
        <w:rPr>
          <w:rFonts w:ascii="Arial" w:hAnsi="Arial" w:cs="Arial"/>
          <w:sz w:val="18"/>
          <w:szCs w:val="18"/>
        </w:rPr>
        <w:t>Graduand</w:t>
      </w:r>
      <w:r>
        <w:rPr>
          <w:rFonts w:ascii="Arial" w:hAnsi="Arial" w:cs="Arial"/>
          <w:sz w:val="18"/>
          <w:szCs w:val="18"/>
        </w:rPr>
        <w:t>o</w:t>
      </w:r>
      <w:r w:rsidRPr="0043470A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Ciências Contábeis. Monitor</w:t>
      </w:r>
      <w:r w:rsidRPr="0043470A">
        <w:rPr>
          <w:rFonts w:ascii="Arial" w:hAnsi="Arial" w:cs="Arial"/>
          <w:sz w:val="18"/>
          <w:szCs w:val="18"/>
        </w:rPr>
        <w:t xml:space="preserve"> da disciplina: </w:t>
      </w:r>
      <w:r w:rsidR="00FF495C">
        <w:rPr>
          <w:rFonts w:ascii="Arial" w:hAnsi="Arial" w:cs="Arial"/>
          <w:sz w:val="18"/>
          <w:szCs w:val="18"/>
        </w:rPr>
        <w:t>Contabilidade Pública</w:t>
      </w:r>
    </w:p>
  </w:footnote>
  <w:footnote w:id="3">
    <w:p w:rsidR="007D565C" w:rsidRPr="003B717F" w:rsidRDefault="007D565C" w:rsidP="007D565C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Style w:val="Refdenotaderodap"/>
          <w:rFonts w:eastAsiaTheme="minorEastAsia"/>
        </w:rPr>
        <w:footnoteRef/>
      </w:r>
      <w:r w:rsidR="00FF495C">
        <w:rPr>
          <w:rFonts w:ascii="Arial" w:hAnsi="Arial" w:cs="Arial"/>
          <w:sz w:val="18"/>
          <w:szCs w:val="18"/>
        </w:rPr>
        <w:t>Orientador</w:t>
      </w:r>
      <w:r w:rsidRPr="0043470A">
        <w:rPr>
          <w:rFonts w:ascii="Arial" w:hAnsi="Arial" w:cs="Arial"/>
          <w:sz w:val="18"/>
          <w:szCs w:val="18"/>
        </w:rPr>
        <w:t xml:space="preserve">Professor da disciplina: </w:t>
      </w:r>
      <w:r w:rsidR="00FF495C">
        <w:rPr>
          <w:rFonts w:ascii="Arial" w:hAnsi="Arial" w:cs="Arial"/>
          <w:sz w:val="18"/>
          <w:szCs w:val="18"/>
        </w:rPr>
        <w:t>Contabilidade Pública</w:t>
      </w:r>
      <w:r w:rsidR="00D96D3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Ciências Contábeis</w:t>
      </w:r>
    </w:p>
  </w:footnote>
  <w:footnote w:id="4">
    <w:p w:rsidR="007D565C" w:rsidRDefault="007D565C" w:rsidP="007D565C">
      <w:pPr>
        <w:pStyle w:val="Default"/>
      </w:pPr>
      <w:r w:rsidRPr="003B717F">
        <w:rPr>
          <w:rStyle w:val="Refdenotaderodap"/>
          <w:rFonts w:eastAsiaTheme="minorEastAsia"/>
          <w:sz w:val="18"/>
          <w:szCs w:val="18"/>
        </w:rPr>
        <w:footnoteRef/>
      </w:r>
      <w:r w:rsidRPr="003B717F">
        <w:rPr>
          <w:sz w:val="18"/>
          <w:szCs w:val="18"/>
        </w:rPr>
        <w:t xml:space="preserve"> Coordenador do projeto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45A" w:rsidRDefault="0042245A" w:rsidP="0042245A">
    <w:pPr>
      <w:pStyle w:val="Cabealho"/>
      <w:jc w:val="center"/>
      <w:rPr>
        <w:rFonts w:ascii="Arial" w:hAnsi="Arial" w:cs="Arial"/>
        <w:b/>
        <w:bCs/>
        <w:color w:val="808080"/>
        <w:sz w:val="20"/>
        <w:u w:val="single"/>
      </w:rPr>
    </w:pPr>
    <w:r>
      <w:rPr>
        <w:rFonts w:ascii="Arial" w:hAnsi="Arial" w:cs="Arial"/>
        <w:b/>
        <w:bCs/>
        <w:color w:val="808080"/>
        <w:sz w:val="20"/>
        <w:u w:val="single"/>
      </w:rPr>
      <w:t>UFPB-PRG                                                                      XV Encontro de Iniciação à Docência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D94"/>
    <w:multiLevelType w:val="multilevel"/>
    <w:tmpl w:val="1A58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45A"/>
    <w:rsid w:val="0000004F"/>
    <w:rsid w:val="00031DDE"/>
    <w:rsid w:val="00042172"/>
    <w:rsid w:val="0006177F"/>
    <w:rsid w:val="00064D1D"/>
    <w:rsid w:val="00092595"/>
    <w:rsid w:val="000944DB"/>
    <w:rsid w:val="00097C0C"/>
    <w:rsid w:val="000A7AF4"/>
    <w:rsid w:val="0013151D"/>
    <w:rsid w:val="00193476"/>
    <w:rsid w:val="001A3300"/>
    <w:rsid w:val="001B0C98"/>
    <w:rsid w:val="001C0B09"/>
    <w:rsid w:val="00222B30"/>
    <w:rsid w:val="002B60B1"/>
    <w:rsid w:val="002C148C"/>
    <w:rsid w:val="002E774F"/>
    <w:rsid w:val="002F0FAB"/>
    <w:rsid w:val="00336ABE"/>
    <w:rsid w:val="003442D7"/>
    <w:rsid w:val="00371180"/>
    <w:rsid w:val="00371901"/>
    <w:rsid w:val="003D52D4"/>
    <w:rsid w:val="003D7945"/>
    <w:rsid w:val="003E0510"/>
    <w:rsid w:val="003F434B"/>
    <w:rsid w:val="003F48F4"/>
    <w:rsid w:val="0042034E"/>
    <w:rsid w:val="0042245A"/>
    <w:rsid w:val="00457D61"/>
    <w:rsid w:val="0046079B"/>
    <w:rsid w:val="00484C59"/>
    <w:rsid w:val="004E4D43"/>
    <w:rsid w:val="005612C1"/>
    <w:rsid w:val="0058148E"/>
    <w:rsid w:val="005D7ACE"/>
    <w:rsid w:val="006058C2"/>
    <w:rsid w:val="00626D13"/>
    <w:rsid w:val="006321F1"/>
    <w:rsid w:val="00651AF5"/>
    <w:rsid w:val="006731E1"/>
    <w:rsid w:val="006E75AC"/>
    <w:rsid w:val="006F347F"/>
    <w:rsid w:val="00713821"/>
    <w:rsid w:val="007163CA"/>
    <w:rsid w:val="00721257"/>
    <w:rsid w:val="00751C48"/>
    <w:rsid w:val="00760F76"/>
    <w:rsid w:val="0078422B"/>
    <w:rsid w:val="007861A1"/>
    <w:rsid w:val="007B1521"/>
    <w:rsid w:val="007B43F2"/>
    <w:rsid w:val="007D565C"/>
    <w:rsid w:val="00804D99"/>
    <w:rsid w:val="00853359"/>
    <w:rsid w:val="0086014A"/>
    <w:rsid w:val="008809EC"/>
    <w:rsid w:val="00884B29"/>
    <w:rsid w:val="00906603"/>
    <w:rsid w:val="00910AFB"/>
    <w:rsid w:val="00915C04"/>
    <w:rsid w:val="00915FF3"/>
    <w:rsid w:val="0094236C"/>
    <w:rsid w:val="009605FB"/>
    <w:rsid w:val="009627A7"/>
    <w:rsid w:val="00973C01"/>
    <w:rsid w:val="009B17E2"/>
    <w:rsid w:val="009D5AE3"/>
    <w:rsid w:val="009D6E18"/>
    <w:rsid w:val="00A438EA"/>
    <w:rsid w:val="00A50FF2"/>
    <w:rsid w:val="00A62ECF"/>
    <w:rsid w:val="00A974B1"/>
    <w:rsid w:val="00AA30B8"/>
    <w:rsid w:val="00AF1EE7"/>
    <w:rsid w:val="00B47407"/>
    <w:rsid w:val="00B52A42"/>
    <w:rsid w:val="00B56121"/>
    <w:rsid w:val="00BB43CC"/>
    <w:rsid w:val="00BB7B21"/>
    <w:rsid w:val="00BC09FE"/>
    <w:rsid w:val="00BF724E"/>
    <w:rsid w:val="00C03351"/>
    <w:rsid w:val="00C03D12"/>
    <w:rsid w:val="00C20FDF"/>
    <w:rsid w:val="00C36478"/>
    <w:rsid w:val="00C56630"/>
    <w:rsid w:val="00C70999"/>
    <w:rsid w:val="00C82691"/>
    <w:rsid w:val="00C84DB5"/>
    <w:rsid w:val="00CA1F55"/>
    <w:rsid w:val="00CA366E"/>
    <w:rsid w:val="00CD01F2"/>
    <w:rsid w:val="00D33C36"/>
    <w:rsid w:val="00D407C9"/>
    <w:rsid w:val="00D50AEC"/>
    <w:rsid w:val="00D65D20"/>
    <w:rsid w:val="00D96D3F"/>
    <w:rsid w:val="00DA0E7A"/>
    <w:rsid w:val="00DC2210"/>
    <w:rsid w:val="00DE442C"/>
    <w:rsid w:val="00E467E8"/>
    <w:rsid w:val="00E77F6F"/>
    <w:rsid w:val="00E92E3E"/>
    <w:rsid w:val="00EA02DB"/>
    <w:rsid w:val="00EB4653"/>
    <w:rsid w:val="00F05933"/>
    <w:rsid w:val="00F073BD"/>
    <w:rsid w:val="00F15186"/>
    <w:rsid w:val="00F52CD4"/>
    <w:rsid w:val="00F6276F"/>
    <w:rsid w:val="00FA4C7B"/>
    <w:rsid w:val="00FB56A4"/>
    <w:rsid w:val="00FD4F4D"/>
    <w:rsid w:val="00FF495C"/>
    <w:rsid w:val="00FF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22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45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2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45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45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4236C"/>
  </w:style>
  <w:style w:type="character" w:styleId="nfase">
    <w:name w:val="Emphasis"/>
    <w:basedOn w:val="Fontepargpadro"/>
    <w:uiPriority w:val="20"/>
    <w:qFormat/>
    <w:rsid w:val="0094236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60F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7B1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B15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7B1521"/>
    <w:rPr>
      <w:vertAlign w:val="superscript"/>
    </w:rPr>
  </w:style>
  <w:style w:type="paragraph" w:customStyle="1" w:styleId="Default">
    <w:name w:val="Default"/>
    <w:rsid w:val="007D5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A0E7A"/>
    <w:pPr>
      <w:spacing w:after="0" w:line="240" w:lineRule="auto"/>
      <w:ind w:firstLine="708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0E7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ft">
    <w:name w:val="ft"/>
    <w:basedOn w:val="Fontepargpadro"/>
    <w:rsid w:val="00092595"/>
  </w:style>
  <w:style w:type="paragraph" w:styleId="Corpodetexto">
    <w:name w:val="Body Text"/>
    <w:basedOn w:val="Normal"/>
    <w:link w:val="CorpodetextoChar"/>
    <w:rsid w:val="002F0F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F0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ados%20de%20contabilidade%20public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ados%20de%20contabilidade%20publ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42"/>
  <c:chart>
    <c:autoTitleDeleted val="1"/>
    <c:plotArea>
      <c:layout/>
      <c:lineChart>
        <c:grouping val="stacked"/>
        <c:ser>
          <c:idx val="0"/>
          <c:order val="0"/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Plan1!$A$3:$J$4</c:f>
              <c:multiLvlStrCache>
                <c:ptCount val="10"/>
                <c:lvl>
                  <c:pt idx="0">
                    <c:v>MATRIC</c:v>
                  </c:pt>
                  <c:pt idx="1">
                    <c:v>APROV</c:v>
                  </c:pt>
                  <c:pt idx="2">
                    <c:v>MATRIC</c:v>
                  </c:pt>
                  <c:pt idx="3">
                    <c:v>APROV</c:v>
                  </c:pt>
                  <c:pt idx="4">
                    <c:v>MATRIC</c:v>
                  </c:pt>
                  <c:pt idx="5">
                    <c:v>APROV</c:v>
                  </c:pt>
                  <c:pt idx="6">
                    <c:v>MATRIC</c:v>
                  </c:pt>
                  <c:pt idx="7">
                    <c:v>APROV</c:v>
                  </c:pt>
                  <c:pt idx="8">
                    <c:v>MATRIC</c:v>
                  </c:pt>
                  <c:pt idx="9">
                    <c:v>APROV</c:v>
                  </c:pt>
                </c:lvl>
                <c:lvl>
                  <c:pt idx="0">
                    <c:v>2010.1</c:v>
                  </c:pt>
                  <c:pt idx="2">
                    <c:v>2010.2</c:v>
                  </c:pt>
                  <c:pt idx="4">
                    <c:v>2011.1</c:v>
                  </c:pt>
                  <c:pt idx="6">
                    <c:v>2012.2</c:v>
                  </c:pt>
                  <c:pt idx="8">
                    <c:v>2012.1</c:v>
                  </c:pt>
                </c:lvl>
              </c:multiLvlStrCache>
            </c:multiLvlStrRef>
          </c:cat>
          <c:val>
            <c:numRef>
              <c:f>Plan1!$A$5:$J$5</c:f>
              <c:numCache>
                <c:formatCode>General</c:formatCode>
                <c:ptCount val="10"/>
                <c:pt idx="0">
                  <c:v>67</c:v>
                </c:pt>
                <c:pt idx="1">
                  <c:v>59</c:v>
                </c:pt>
                <c:pt idx="2">
                  <c:v>57</c:v>
                </c:pt>
                <c:pt idx="3">
                  <c:v>55</c:v>
                </c:pt>
                <c:pt idx="4">
                  <c:v>101</c:v>
                </c:pt>
                <c:pt idx="5">
                  <c:v>90</c:v>
                </c:pt>
                <c:pt idx="6">
                  <c:v>79</c:v>
                </c:pt>
                <c:pt idx="7">
                  <c:v>74</c:v>
                </c:pt>
                <c:pt idx="8">
                  <c:v>105</c:v>
                </c:pt>
                <c:pt idx="9">
                  <c:v>98</c:v>
                </c:pt>
              </c:numCache>
            </c:numRef>
          </c:val>
        </c:ser>
        <c:dropLines/>
        <c:marker val="1"/>
        <c:axId val="127586304"/>
        <c:axId val="127587840"/>
      </c:lineChart>
      <c:catAx>
        <c:axId val="1275863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127587840"/>
        <c:crosses val="autoZero"/>
        <c:auto val="1"/>
        <c:lblAlgn val="ctr"/>
        <c:lblOffset val="100"/>
      </c:catAx>
      <c:valAx>
        <c:axId val="127587840"/>
        <c:scaling>
          <c:orientation val="minMax"/>
        </c:scaling>
        <c:axPos val="l"/>
        <c:majorGridlines/>
        <c:numFmt formatCode="General" sourceLinked="1"/>
        <c:tickLblPos val="nextTo"/>
        <c:crossAx val="127586304"/>
        <c:crosses val="autoZero"/>
        <c:crossBetween val="between"/>
      </c:valAx>
    </c:plotArea>
    <c:legend>
      <c:legendPos val="r"/>
    </c:legend>
    <c:plotVisOnly val="1"/>
    <c:dispBlanksAs val="zero"/>
  </c:chart>
  <c:spPr>
    <a:effectLst>
      <a:glow rad="1397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B prst="relaxedInset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45"/>
  <c:chart>
    <c:autoTitleDeleted val="1"/>
    <c:view3D>
      <c:rotY val="30"/>
      <c:perspective val="20"/>
    </c:view3D>
    <c:plotArea>
      <c:layout/>
      <c:bar3DChart>
        <c:barDir val="col"/>
        <c:grouping val="standard"/>
        <c:ser>
          <c:idx val="0"/>
          <c:order val="0"/>
          <c:cat>
            <c:strRef>
              <c:f>Plan1!$W$23:$W$27</c:f>
              <c:strCache>
                <c:ptCount val="5"/>
                <c:pt idx="0">
                  <c:v>2010.1</c:v>
                </c:pt>
                <c:pt idx="1">
                  <c:v>2010.2</c:v>
                </c:pt>
                <c:pt idx="2">
                  <c:v>2011.1</c:v>
                </c:pt>
                <c:pt idx="3">
                  <c:v>2011.2</c:v>
                </c:pt>
                <c:pt idx="4">
                  <c:v>2012.1</c:v>
                </c:pt>
              </c:strCache>
            </c:strRef>
          </c:cat>
          <c:val>
            <c:numRef>
              <c:f>Plan1!$X$23:$X$27</c:f>
              <c:numCache>
                <c:formatCode>_(* #,##0.00_);_(* \(#,##0.00\);_(* "-"??_);_(@_)</c:formatCode>
                <c:ptCount val="5"/>
                <c:pt idx="0">
                  <c:v>88.059701492537286</c:v>
                </c:pt>
                <c:pt idx="1">
                  <c:v>96.491228070175481</c:v>
                </c:pt>
                <c:pt idx="2">
                  <c:v>89.108910891089067</c:v>
                </c:pt>
                <c:pt idx="3">
                  <c:v>93.67088607594934</c:v>
                </c:pt>
                <c:pt idx="4">
                  <c:v>93.3333333333333</c:v>
                </c:pt>
              </c:numCache>
            </c:numRef>
          </c:val>
        </c:ser>
        <c:shape val="box"/>
        <c:axId val="131756416"/>
        <c:axId val="131757952"/>
        <c:axId val="122335680"/>
      </c:bar3DChart>
      <c:catAx>
        <c:axId val="131756416"/>
        <c:scaling>
          <c:orientation val="minMax"/>
        </c:scaling>
        <c:axPos val="b"/>
        <c:majorTickMark val="none"/>
        <c:tickLblPos val="nextTo"/>
        <c:crossAx val="131757952"/>
        <c:crosses val="autoZero"/>
        <c:auto val="1"/>
        <c:lblAlgn val="ctr"/>
        <c:lblOffset val="100"/>
      </c:catAx>
      <c:valAx>
        <c:axId val="1317579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Percentual</a:t>
                </a:r>
              </a:p>
            </c:rich>
          </c:tx>
        </c:title>
        <c:numFmt formatCode="_(* #,##0.00_);_(* \(#,##0.00\);_(* &quot;-&quot;??_);_(@_)" sourceLinked="1"/>
        <c:majorTickMark val="none"/>
        <c:tickLblPos val="nextTo"/>
        <c:crossAx val="131756416"/>
        <c:crosses val="autoZero"/>
        <c:crossBetween val="between"/>
      </c:valAx>
      <c:serAx>
        <c:axId val="122335680"/>
        <c:scaling>
          <c:orientation val="minMax"/>
        </c:scaling>
        <c:axPos val="b"/>
        <c:majorTickMark val="none"/>
        <c:tickLblPos val="nextTo"/>
        <c:crossAx val="131757952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effectLst>
      <a:glow rad="228600">
        <a:schemeClr val="accent3">
          <a:satMod val="175000"/>
          <a:alpha val="40000"/>
        </a:schemeClr>
      </a:glow>
    </a:effectLst>
  </c:sp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9871-3DE2-4952-9A44-E3660C80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1604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UFPB</dc:creator>
  <cp:lastModifiedBy>Azamor</cp:lastModifiedBy>
  <cp:revision>28</cp:revision>
  <cp:lastPrinted>2013-10-17T19:46:00Z</cp:lastPrinted>
  <dcterms:created xsi:type="dcterms:W3CDTF">2013-10-17T13:42:00Z</dcterms:created>
  <dcterms:modified xsi:type="dcterms:W3CDTF">2013-10-31T12:42:00Z</dcterms:modified>
</cp:coreProperties>
</file>